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8C428" w14:textId="52235707" w:rsidR="00055558" w:rsidRPr="00FB108F" w:rsidRDefault="00055558" w:rsidP="002961F6">
      <w:pPr>
        <w:tabs>
          <w:tab w:val="left" w:pos="2520"/>
        </w:tabs>
        <w:spacing w:after="0" w:line="240" w:lineRule="auto"/>
        <w:jc w:val="center"/>
        <w:rPr>
          <w:rFonts w:cstheme="minorHAnsi"/>
          <w:sz w:val="24"/>
          <w:szCs w:val="24"/>
        </w:rPr>
      </w:pPr>
      <w:r w:rsidRPr="00FB108F">
        <w:rPr>
          <w:rFonts w:cstheme="minorHAnsi"/>
          <w:sz w:val="24"/>
          <w:szCs w:val="24"/>
        </w:rPr>
        <w:t>AGENDA</w:t>
      </w:r>
    </w:p>
    <w:p w14:paraId="77EA1C67" w14:textId="77777777" w:rsidR="00055558" w:rsidRPr="00FB108F" w:rsidRDefault="00055558" w:rsidP="00055558">
      <w:pPr>
        <w:spacing w:after="0" w:line="240" w:lineRule="auto"/>
        <w:jc w:val="center"/>
        <w:rPr>
          <w:rFonts w:cstheme="minorHAnsi"/>
          <w:sz w:val="24"/>
          <w:szCs w:val="24"/>
        </w:rPr>
      </w:pPr>
      <w:r w:rsidRPr="00FB108F">
        <w:rPr>
          <w:rFonts w:cstheme="minorHAnsi"/>
          <w:sz w:val="24"/>
          <w:szCs w:val="24"/>
        </w:rPr>
        <w:t>Council of Chairs Meeting</w:t>
      </w:r>
    </w:p>
    <w:p w14:paraId="6B508E81" w14:textId="6A8C7F6B" w:rsidR="0074671F" w:rsidRDefault="00781517" w:rsidP="00001281">
      <w:pPr>
        <w:tabs>
          <w:tab w:val="center" w:pos="5112"/>
        </w:tabs>
        <w:spacing w:after="0" w:line="240" w:lineRule="auto"/>
        <w:jc w:val="center"/>
        <w:rPr>
          <w:rFonts w:cstheme="minorHAnsi"/>
          <w:sz w:val="24"/>
          <w:szCs w:val="24"/>
        </w:rPr>
      </w:pPr>
      <w:r>
        <w:rPr>
          <w:rFonts w:cstheme="minorHAnsi"/>
          <w:sz w:val="24"/>
          <w:szCs w:val="24"/>
        </w:rPr>
        <w:t>April 3</w:t>
      </w:r>
      <w:r w:rsidR="00C00C89">
        <w:rPr>
          <w:rFonts w:cstheme="minorHAnsi"/>
          <w:sz w:val="24"/>
          <w:szCs w:val="24"/>
        </w:rPr>
        <w:t>, 2023</w:t>
      </w:r>
    </w:p>
    <w:p w14:paraId="5D37C829" w14:textId="0D5DB29A" w:rsidR="00DE3BD3" w:rsidRPr="00FB108F" w:rsidRDefault="00DE3BD3" w:rsidP="00001281">
      <w:pPr>
        <w:tabs>
          <w:tab w:val="center" w:pos="5112"/>
        </w:tabs>
        <w:spacing w:after="0" w:line="240" w:lineRule="auto"/>
        <w:jc w:val="center"/>
        <w:rPr>
          <w:rFonts w:cstheme="minorHAnsi"/>
          <w:sz w:val="24"/>
          <w:szCs w:val="24"/>
        </w:rPr>
      </w:pPr>
      <w:r>
        <w:rPr>
          <w:rFonts w:cstheme="minorHAnsi"/>
          <w:sz w:val="24"/>
          <w:szCs w:val="24"/>
        </w:rPr>
        <w:t>BI-104</w:t>
      </w:r>
    </w:p>
    <w:p w14:paraId="58820453" w14:textId="1589EE1E" w:rsidR="00B52BD7" w:rsidRPr="00DC0119" w:rsidRDefault="00C00C89" w:rsidP="00DC0119">
      <w:pPr>
        <w:spacing w:after="0" w:line="240" w:lineRule="auto"/>
        <w:rPr>
          <w:rFonts w:cstheme="minorHAnsi"/>
          <w:sz w:val="24"/>
          <w:szCs w:val="24"/>
          <w:u w:val="single"/>
        </w:rPr>
      </w:pPr>
      <w:r w:rsidRPr="00DC0119">
        <w:rPr>
          <w:rFonts w:cstheme="minorHAnsi"/>
          <w:sz w:val="24"/>
          <w:szCs w:val="24"/>
        </w:rPr>
        <w:t xml:space="preserve"> </w:t>
      </w:r>
    </w:p>
    <w:p w14:paraId="070777E0" w14:textId="6DEBAAAD" w:rsidR="00B52BD7" w:rsidRPr="00B52BD7" w:rsidRDefault="00B52BD7" w:rsidP="00B52BD7">
      <w:pPr>
        <w:spacing w:after="0" w:line="240" w:lineRule="auto"/>
        <w:rPr>
          <w:rFonts w:cstheme="minorHAnsi"/>
          <w:sz w:val="24"/>
          <w:szCs w:val="24"/>
          <w:u w:val="single"/>
        </w:rPr>
      </w:pPr>
    </w:p>
    <w:p w14:paraId="64232848" w14:textId="77777777" w:rsidR="002D0724" w:rsidRPr="002D0724" w:rsidRDefault="002D0724" w:rsidP="002D0724">
      <w:pPr>
        <w:spacing w:after="0" w:line="240" w:lineRule="auto"/>
        <w:rPr>
          <w:rFonts w:cstheme="minorHAnsi"/>
          <w:sz w:val="24"/>
          <w:szCs w:val="24"/>
          <w:u w:val="single"/>
        </w:rPr>
      </w:pPr>
    </w:p>
    <w:p w14:paraId="0CDF8055" w14:textId="5B52677D" w:rsidR="00334CD2" w:rsidRPr="00B9441C" w:rsidRDefault="00334CD2" w:rsidP="00B52BD7">
      <w:pPr>
        <w:pStyle w:val="ListParagraph"/>
        <w:numPr>
          <w:ilvl w:val="0"/>
          <w:numId w:val="11"/>
        </w:numPr>
        <w:spacing w:after="0" w:line="240" w:lineRule="auto"/>
        <w:rPr>
          <w:rFonts w:cstheme="minorHAnsi"/>
          <w:sz w:val="24"/>
          <w:szCs w:val="24"/>
          <w:u w:val="single"/>
        </w:rPr>
      </w:pPr>
      <w:r>
        <w:rPr>
          <w:rFonts w:cstheme="minorHAnsi"/>
          <w:sz w:val="24"/>
          <w:szCs w:val="24"/>
          <w:u w:val="single"/>
        </w:rPr>
        <w:t>Research Visibility Discussion</w:t>
      </w:r>
      <w:r w:rsidR="00B9441C">
        <w:rPr>
          <w:rFonts w:cstheme="minorHAnsi"/>
          <w:sz w:val="24"/>
          <w:szCs w:val="24"/>
        </w:rPr>
        <w:t xml:space="preserve"> – Monty Van Wart</w:t>
      </w:r>
    </w:p>
    <w:p w14:paraId="0B064AEC" w14:textId="77777777" w:rsidR="00B9441C" w:rsidRDefault="00B9441C" w:rsidP="00B9441C">
      <w:pPr>
        <w:pStyle w:val="ListParagraph"/>
        <w:spacing w:after="0" w:line="240" w:lineRule="auto"/>
        <w:rPr>
          <w:rFonts w:cstheme="minorHAnsi"/>
          <w:sz w:val="24"/>
          <w:szCs w:val="24"/>
          <w:u w:val="single"/>
        </w:rPr>
      </w:pPr>
    </w:p>
    <w:p w14:paraId="2ECEE4F9" w14:textId="48CA1DA1" w:rsidR="00C252F1" w:rsidRPr="002C247C" w:rsidRDefault="003C26CA" w:rsidP="00B52BD7">
      <w:pPr>
        <w:pStyle w:val="ListParagraph"/>
        <w:numPr>
          <w:ilvl w:val="0"/>
          <w:numId w:val="11"/>
        </w:numPr>
        <w:spacing w:after="0" w:line="240" w:lineRule="auto"/>
        <w:rPr>
          <w:rFonts w:cstheme="minorHAnsi"/>
          <w:sz w:val="24"/>
          <w:szCs w:val="24"/>
          <w:u w:val="single"/>
        </w:rPr>
      </w:pPr>
      <w:r>
        <w:rPr>
          <w:rFonts w:cstheme="minorHAnsi"/>
          <w:sz w:val="24"/>
          <w:szCs w:val="24"/>
          <w:u w:val="single"/>
        </w:rPr>
        <w:t>Minutes Approval</w:t>
      </w:r>
      <w:r>
        <w:rPr>
          <w:rFonts w:cstheme="minorHAnsi"/>
          <w:sz w:val="24"/>
          <w:szCs w:val="24"/>
        </w:rPr>
        <w:t xml:space="preserve"> – Minutes from March </w:t>
      </w:r>
      <w:r w:rsidR="002C247C">
        <w:rPr>
          <w:rFonts w:cstheme="minorHAnsi"/>
          <w:sz w:val="24"/>
          <w:szCs w:val="24"/>
        </w:rPr>
        <w:t>20</w:t>
      </w:r>
      <w:r w:rsidR="002C247C" w:rsidRPr="002C247C">
        <w:rPr>
          <w:rFonts w:cstheme="minorHAnsi"/>
          <w:sz w:val="24"/>
          <w:szCs w:val="24"/>
          <w:vertAlign w:val="superscript"/>
        </w:rPr>
        <w:t>th</w:t>
      </w:r>
      <w:r w:rsidR="002C247C">
        <w:rPr>
          <w:rFonts w:cstheme="minorHAnsi"/>
          <w:sz w:val="24"/>
          <w:szCs w:val="24"/>
        </w:rPr>
        <w:t xml:space="preserve"> meeting</w:t>
      </w:r>
    </w:p>
    <w:p w14:paraId="3C749E2F" w14:textId="77777777" w:rsidR="002C247C" w:rsidRDefault="002C247C" w:rsidP="002C247C">
      <w:pPr>
        <w:pStyle w:val="ListParagraph"/>
        <w:spacing w:after="0" w:line="240" w:lineRule="auto"/>
        <w:rPr>
          <w:rFonts w:cstheme="minorHAnsi"/>
          <w:sz w:val="24"/>
          <w:szCs w:val="24"/>
          <w:u w:val="single"/>
        </w:rPr>
      </w:pPr>
    </w:p>
    <w:p w14:paraId="4D5AB038" w14:textId="53102E59" w:rsidR="00055558" w:rsidRPr="006B7C8D" w:rsidRDefault="00055558" w:rsidP="00B52BD7">
      <w:pPr>
        <w:pStyle w:val="ListParagraph"/>
        <w:numPr>
          <w:ilvl w:val="0"/>
          <w:numId w:val="11"/>
        </w:numPr>
        <w:spacing w:after="0" w:line="240" w:lineRule="auto"/>
        <w:rPr>
          <w:rFonts w:cstheme="minorHAnsi"/>
          <w:sz w:val="24"/>
          <w:szCs w:val="24"/>
          <w:u w:val="single"/>
        </w:rPr>
      </w:pPr>
      <w:r w:rsidRPr="006B7C8D">
        <w:rPr>
          <w:rFonts w:cstheme="minorHAnsi"/>
          <w:sz w:val="24"/>
          <w:szCs w:val="24"/>
          <w:u w:val="single"/>
        </w:rPr>
        <w:t>Informational Items</w:t>
      </w:r>
    </w:p>
    <w:p w14:paraId="6563FAE5" w14:textId="03BB3814" w:rsidR="004E7D81" w:rsidRPr="002231B3" w:rsidRDefault="004E7D81" w:rsidP="00B52BD7">
      <w:pPr>
        <w:tabs>
          <w:tab w:val="left" w:pos="720"/>
          <w:tab w:val="left" w:pos="1080"/>
        </w:tabs>
        <w:spacing w:after="0" w:line="240" w:lineRule="auto"/>
        <w:rPr>
          <w:rFonts w:cstheme="minorHAnsi"/>
          <w:sz w:val="24"/>
          <w:szCs w:val="24"/>
        </w:rPr>
      </w:pPr>
    </w:p>
    <w:p w14:paraId="4106FE22" w14:textId="06BF1033" w:rsidR="0095554E" w:rsidRDefault="00055558" w:rsidP="00B52BD7">
      <w:pPr>
        <w:pStyle w:val="ListParagraph"/>
        <w:numPr>
          <w:ilvl w:val="0"/>
          <w:numId w:val="2"/>
        </w:numPr>
        <w:spacing w:after="0" w:line="240" w:lineRule="auto"/>
        <w:rPr>
          <w:rFonts w:cstheme="minorHAnsi"/>
          <w:sz w:val="24"/>
          <w:szCs w:val="24"/>
        </w:rPr>
      </w:pPr>
      <w:r w:rsidRPr="00FB108F">
        <w:rPr>
          <w:rFonts w:cstheme="minorHAnsi"/>
          <w:sz w:val="24"/>
          <w:szCs w:val="24"/>
        </w:rPr>
        <w:t xml:space="preserve">Announcement from </w:t>
      </w:r>
      <w:r w:rsidR="00BF73F3">
        <w:rPr>
          <w:rFonts w:cstheme="minorHAnsi"/>
          <w:sz w:val="24"/>
          <w:szCs w:val="24"/>
        </w:rPr>
        <w:t>chairs</w:t>
      </w:r>
    </w:p>
    <w:p w14:paraId="302DF078" w14:textId="40DC291B" w:rsidR="002231B3" w:rsidRPr="00BF73F3" w:rsidRDefault="002231B3" w:rsidP="00B52BD7">
      <w:pPr>
        <w:spacing w:after="0" w:line="240" w:lineRule="auto"/>
        <w:rPr>
          <w:rFonts w:eastAsia="Times New Roman"/>
          <w:sz w:val="24"/>
          <w:szCs w:val="24"/>
        </w:rPr>
      </w:pPr>
    </w:p>
    <w:p w14:paraId="40A9DDFF" w14:textId="0D54E7C3" w:rsidR="00CE2D92" w:rsidRPr="00CE4C6C" w:rsidRDefault="002231B3" w:rsidP="00B52BD7">
      <w:pPr>
        <w:pStyle w:val="ListParagraph"/>
        <w:numPr>
          <w:ilvl w:val="0"/>
          <w:numId w:val="2"/>
        </w:numPr>
        <w:spacing w:after="0" w:line="240" w:lineRule="auto"/>
        <w:rPr>
          <w:rFonts w:eastAsia="Times New Roman"/>
          <w:sz w:val="24"/>
          <w:szCs w:val="24"/>
        </w:rPr>
      </w:pPr>
      <w:r w:rsidRPr="00BF73F3">
        <w:rPr>
          <w:rFonts w:eastAsia="Times New Roman"/>
          <w:sz w:val="24"/>
          <w:szCs w:val="24"/>
        </w:rPr>
        <w:t>Annou</w:t>
      </w:r>
      <w:r w:rsidR="009D75BD">
        <w:rPr>
          <w:rFonts w:eastAsia="Times New Roman"/>
          <w:sz w:val="24"/>
          <w:szCs w:val="24"/>
        </w:rPr>
        <w:t>n</w:t>
      </w:r>
      <w:r w:rsidRPr="00BF73F3">
        <w:rPr>
          <w:rFonts w:eastAsia="Times New Roman"/>
          <w:sz w:val="24"/>
          <w:szCs w:val="24"/>
        </w:rPr>
        <w:t xml:space="preserve">cements by </w:t>
      </w:r>
      <w:r w:rsidR="00BF73F3" w:rsidRPr="00BF73F3">
        <w:rPr>
          <w:rFonts w:eastAsia="Times New Roman"/>
          <w:sz w:val="24"/>
          <w:szCs w:val="24"/>
        </w:rPr>
        <w:t>administration</w:t>
      </w:r>
    </w:p>
    <w:p w14:paraId="2475A308" w14:textId="77777777" w:rsidR="00CE2D92" w:rsidRPr="00CE2D92" w:rsidRDefault="00CE2D92" w:rsidP="00B52BD7">
      <w:pPr>
        <w:pStyle w:val="ListParagraph"/>
        <w:spacing w:after="0" w:line="240" w:lineRule="auto"/>
        <w:ind w:left="1800"/>
        <w:rPr>
          <w:rFonts w:cstheme="minorHAnsi"/>
          <w:sz w:val="24"/>
          <w:szCs w:val="24"/>
        </w:rPr>
      </w:pPr>
    </w:p>
    <w:p w14:paraId="159ACCDF" w14:textId="673EA06D" w:rsidR="00400C99" w:rsidRDefault="001237AD" w:rsidP="008851A5">
      <w:pPr>
        <w:pStyle w:val="ListParagraph"/>
        <w:numPr>
          <w:ilvl w:val="0"/>
          <w:numId w:val="3"/>
        </w:numPr>
        <w:spacing w:after="0" w:line="240" w:lineRule="auto"/>
        <w:rPr>
          <w:rFonts w:cstheme="minorHAnsi"/>
          <w:sz w:val="24"/>
          <w:szCs w:val="24"/>
        </w:rPr>
      </w:pPr>
      <w:r>
        <w:rPr>
          <w:rFonts w:cstheme="minorHAnsi"/>
          <w:sz w:val="24"/>
          <w:szCs w:val="24"/>
        </w:rPr>
        <w:t>Guillermo</w:t>
      </w:r>
      <w:r w:rsidR="00BF73F3" w:rsidRPr="00116A0C">
        <w:rPr>
          <w:rFonts w:cstheme="minorHAnsi"/>
          <w:sz w:val="24"/>
          <w:szCs w:val="24"/>
        </w:rPr>
        <w:t>’s Report</w:t>
      </w:r>
    </w:p>
    <w:p w14:paraId="4C682C1F" w14:textId="0CF33C89" w:rsidR="00DB714F" w:rsidRDefault="00DB714F" w:rsidP="00DB714F">
      <w:pPr>
        <w:pStyle w:val="ListParagraph"/>
        <w:numPr>
          <w:ilvl w:val="1"/>
          <w:numId w:val="3"/>
        </w:numPr>
        <w:spacing w:after="0" w:line="240" w:lineRule="auto"/>
        <w:rPr>
          <w:rFonts w:cstheme="minorHAnsi"/>
          <w:sz w:val="24"/>
          <w:szCs w:val="24"/>
        </w:rPr>
      </w:pPr>
      <w:r>
        <w:rPr>
          <w:rFonts w:cstheme="minorHAnsi"/>
          <w:sz w:val="24"/>
          <w:szCs w:val="24"/>
        </w:rPr>
        <w:t xml:space="preserve">SOAR </w:t>
      </w:r>
      <w:r w:rsidR="00185D10">
        <w:rPr>
          <w:rFonts w:cstheme="minorHAnsi"/>
          <w:sz w:val="24"/>
          <w:szCs w:val="24"/>
        </w:rPr>
        <w:t>Orientation Plans</w:t>
      </w:r>
    </w:p>
    <w:p w14:paraId="68B1FC3A" w14:textId="79352F22" w:rsidR="00185D10" w:rsidRDefault="00185D10" w:rsidP="00DB714F">
      <w:pPr>
        <w:pStyle w:val="ListParagraph"/>
        <w:numPr>
          <w:ilvl w:val="1"/>
          <w:numId w:val="3"/>
        </w:numPr>
        <w:spacing w:after="0" w:line="240" w:lineRule="auto"/>
        <w:rPr>
          <w:rFonts w:cstheme="minorHAnsi"/>
          <w:sz w:val="24"/>
          <w:szCs w:val="24"/>
        </w:rPr>
      </w:pPr>
      <w:r>
        <w:rPr>
          <w:rFonts w:cstheme="minorHAnsi"/>
          <w:sz w:val="24"/>
          <w:szCs w:val="24"/>
        </w:rPr>
        <w:t>CNS DEI Committee Update</w:t>
      </w:r>
    </w:p>
    <w:p w14:paraId="24604327" w14:textId="77777777" w:rsidR="00DE61CD" w:rsidRPr="003865FF" w:rsidRDefault="00DE61CD" w:rsidP="00B52BD7">
      <w:pPr>
        <w:pStyle w:val="ListParagraph"/>
        <w:spacing w:after="0" w:line="240" w:lineRule="auto"/>
        <w:ind w:left="1800"/>
        <w:rPr>
          <w:rFonts w:cstheme="minorHAnsi"/>
        </w:rPr>
      </w:pPr>
    </w:p>
    <w:p w14:paraId="3C642E21" w14:textId="1F2023B7" w:rsidR="005B0451" w:rsidRDefault="003865FF" w:rsidP="005B0451">
      <w:pPr>
        <w:pStyle w:val="ListParagraph"/>
        <w:numPr>
          <w:ilvl w:val="0"/>
          <w:numId w:val="3"/>
        </w:numPr>
        <w:spacing w:after="0" w:line="240" w:lineRule="auto"/>
        <w:rPr>
          <w:rFonts w:cstheme="minorHAnsi"/>
          <w:sz w:val="24"/>
          <w:szCs w:val="24"/>
        </w:rPr>
      </w:pPr>
      <w:r>
        <w:rPr>
          <w:rFonts w:cstheme="minorHAnsi"/>
          <w:sz w:val="24"/>
          <w:szCs w:val="24"/>
        </w:rPr>
        <w:t>Dave’s Report</w:t>
      </w:r>
    </w:p>
    <w:p w14:paraId="400FD83E" w14:textId="5E12CBAD" w:rsidR="001323C9" w:rsidRDefault="00C96953" w:rsidP="001323C9">
      <w:pPr>
        <w:pStyle w:val="ListParagraph"/>
        <w:numPr>
          <w:ilvl w:val="1"/>
          <w:numId w:val="3"/>
        </w:numPr>
        <w:spacing w:after="0" w:line="240" w:lineRule="auto"/>
        <w:rPr>
          <w:rFonts w:cstheme="minorHAnsi"/>
          <w:sz w:val="24"/>
          <w:szCs w:val="24"/>
        </w:rPr>
      </w:pPr>
      <w:r>
        <w:rPr>
          <w:rFonts w:cstheme="minorHAnsi"/>
          <w:sz w:val="24"/>
          <w:szCs w:val="24"/>
        </w:rPr>
        <w:t xml:space="preserve">Review of March </w:t>
      </w:r>
      <w:r w:rsidR="00AB073E">
        <w:rPr>
          <w:rFonts w:cstheme="minorHAnsi"/>
          <w:sz w:val="24"/>
          <w:szCs w:val="24"/>
        </w:rPr>
        <w:t>25 C</w:t>
      </w:r>
      <w:r w:rsidR="00DB277C">
        <w:rPr>
          <w:rFonts w:cstheme="minorHAnsi"/>
          <w:sz w:val="24"/>
          <w:szCs w:val="24"/>
        </w:rPr>
        <w:t>HOOSE</w:t>
      </w:r>
      <w:r w:rsidR="00AB073E">
        <w:rPr>
          <w:rFonts w:cstheme="minorHAnsi"/>
          <w:sz w:val="24"/>
          <w:szCs w:val="24"/>
        </w:rPr>
        <w:t xml:space="preserve"> CSUSB</w:t>
      </w:r>
    </w:p>
    <w:p w14:paraId="63E3A351" w14:textId="2C6F75C0" w:rsidR="00AB073E" w:rsidRPr="001323C9" w:rsidRDefault="00693EDA" w:rsidP="001323C9">
      <w:pPr>
        <w:pStyle w:val="ListParagraph"/>
        <w:numPr>
          <w:ilvl w:val="1"/>
          <w:numId w:val="3"/>
        </w:numPr>
        <w:spacing w:after="0" w:line="240" w:lineRule="auto"/>
        <w:rPr>
          <w:rFonts w:cstheme="minorHAnsi"/>
          <w:sz w:val="24"/>
          <w:szCs w:val="24"/>
        </w:rPr>
      </w:pPr>
      <w:r>
        <w:rPr>
          <w:rFonts w:cstheme="minorHAnsi"/>
          <w:sz w:val="24"/>
          <w:szCs w:val="24"/>
        </w:rPr>
        <w:t xml:space="preserve">Summer SOAR programs for FTF and Transfer </w:t>
      </w:r>
      <w:r w:rsidR="00DB277C">
        <w:rPr>
          <w:rFonts w:cstheme="minorHAnsi"/>
          <w:sz w:val="24"/>
          <w:szCs w:val="24"/>
        </w:rPr>
        <w:t>S</w:t>
      </w:r>
      <w:r>
        <w:rPr>
          <w:rFonts w:cstheme="minorHAnsi"/>
          <w:sz w:val="24"/>
          <w:szCs w:val="24"/>
        </w:rPr>
        <w:t>tudents</w:t>
      </w:r>
    </w:p>
    <w:p w14:paraId="2D67184C" w14:textId="77777777" w:rsidR="008851A5" w:rsidRPr="00E20793" w:rsidRDefault="008851A5" w:rsidP="00E20793">
      <w:pPr>
        <w:spacing w:after="0" w:line="240" w:lineRule="auto"/>
        <w:rPr>
          <w:sz w:val="24"/>
          <w:szCs w:val="24"/>
        </w:rPr>
      </w:pPr>
    </w:p>
    <w:p w14:paraId="4413E36E" w14:textId="78BD3DC4" w:rsidR="00BF73F3" w:rsidRDefault="00BF73F3" w:rsidP="00B52BD7">
      <w:pPr>
        <w:pStyle w:val="ListParagraph"/>
        <w:numPr>
          <w:ilvl w:val="0"/>
          <w:numId w:val="3"/>
        </w:numPr>
        <w:spacing w:after="0" w:line="240" w:lineRule="auto"/>
        <w:rPr>
          <w:rFonts w:cstheme="minorHAnsi"/>
          <w:sz w:val="24"/>
          <w:szCs w:val="24"/>
        </w:rPr>
      </w:pPr>
      <w:r w:rsidRPr="00FB108F">
        <w:rPr>
          <w:rFonts w:cstheme="minorHAnsi"/>
          <w:sz w:val="24"/>
          <w:szCs w:val="24"/>
        </w:rPr>
        <w:t>Sally’s report</w:t>
      </w:r>
    </w:p>
    <w:p w14:paraId="1798F82C" w14:textId="77777777" w:rsidR="00781517" w:rsidRPr="00781517" w:rsidRDefault="00781517" w:rsidP="00781517">
      <w:pPr>
        <w:numPr>
          <w:ilvl w:val="1"/>
          <w:numId w:val="3"/>
        </w:numPr>
        <w:shd w:val="clear" w:color="auto" w:fill="FFFFFF"/>
        <w:spacing w:after="0" w:line="240" w:lineRule="auto"/>
        <w:rPr>
          <w:rFonts w:ascii="Calibri" w:eastAsia="Times New Roman" w:hAnsi="Calibri" w:cs="Calibri"/>
          <w:color w:val="242424"/>
          <w:sz w:val="24"/>
          <w:szCs w:val="24"/>
        </w:rPr>
      </w:pPr>
      <w:r w:rsidRPr="00781517">
        <w:rPr>
          <w:rFonts w:ascii="Calibri" w:eastAsia="Times New Roman" w:hAnsi="Calibri" w:cs="Calibri"/>
          <w:color w:val="242424"/>
          <w:sz w:val="24"/>
          <w:szCs w:val="24"/>
        </w:rPr>
        <w:t>Scheduling update</w:t>
      </w:r>
    </w:p>
    <w:p w14:paraId="62756CAD" w14:textId="77777777" w:rsidR="00781517" w:rsidRPr="00781517" w:rsidRDefault="00781517" w:rsidP="00781517">
      <w:pPr>
        <w:numPr>
          <w:ilvl w:val="1"/>
          <w:numId w:val="3"/>
        </w:numPr>
        <w:shd w:val="clear" w:color="auto" w:fill="FFFFFF"/>
        <w:spacing w:after="0" w:line="240" w:lineRule="auto"/>
        <w:rPr>
          <w:rFonts w:ascii="Calibri" w:eastAsia="Times New Roman" w:hAnsi="Calibri" w:cs="Calibri"/>
          <w:color w:val="242424"/>
          <w:sz w:val="24"/>
          <w:szCs w:val="24"/>
        </w:rPr>
      </w:pPr>
      <w:r w:rsidRPr="00781517">
        <w:rPr>
          <w:rFonts w:ascii="Calibri" w:eastAsia="Times New Roman" w:hAnsi="Calibri" w:cs="Calibri"/>
          <w:color w:val="242424"/>
          <w:sz w:val="24"/>
          <w:szCs w:val="24"/>
        </w:rPr>
        <w:t>Pack Enrollment for Fall 2023 (May 24)</w:t>
      </w:r>
    </w:p>
    <w:p w14:paraId="4DD707A2" w14:textId="77777777" w:rsidR="00781517" w:rsidRPr="00781517" w:rsidRDefault="00781517" w:rsidP="00781517">
      <w:pPr>
        <w:numPr>
          <w:ilvl w:val="1"/>
          <w:numId w:val="3"/>
        </w:numPr>
        <w:shd w:val="clear" w:color="auto" w:fill="FFFFFF"/>
        <w:spacing w:after="0" w:line="240" w:lineRule="auto"/>
        <w:rPr>
          <w:rFonts w:ascii="Calibri" w:eastAsia="Times New Roman" w:hAnsi="Calibri" w:cs="Calibri"/>
          <w:color w:val="242424"/>
          <w:sz w:val="24"/>
          <w:szCs w:val="24"/>
        </w:rPr>
      </w:pPr>
      <w:r w:rsidRPr="00781517">
        <w:rPr>
          <w:rFonts w:ascii="Calibri" w:eastAsia="Times New Roman" w:hAnsi="Calibri" w:cs="Calibri"/>
          <w:color w:val="242424"/>
          <w:sz w:val="24"/>
          <w:szCs w:val="24"/>
        </w:rPr>
        <w:t>NSCI 3001: Scientific Perspectives on Global Challenges (proposed new course)</w:t>
      </w:r>
    </w:p>
    <w:p w14:paraId="1638C808" w14:textId="4F3BE40D" w:rsidR="009A3029" w:rsidRPr="00B9441C" w:rsidRDefault="00781517" w:rsidP="00B9441C">
      <w:pPr>
        <w:numPr>
          <w:ilvl w:val="1"/>
          <w:numId w:val="3"/>
        </w:numPr>
        <w:shd w:val="clear" w:color="auto" w:fill="FFFFFF"/>
        <w:spacing w:after="0" w:line="240" w:lineRule="auto"/>
        <w:rPr>
          <w:rFonts w:ascii="Calibri" w:eastAsia="Times New Roman" w:hAnsi="Calibri" w:cs="Calibri"/>
          <w:color w:val="242424"/>
          <w:sz w:val="24"/>
          <w:szCs w:val="24"/>
        </w:rPr>
      </w:pPr>
      <w:r w:rsidRPr="00781517">
        <w:rPr>
          <w:rFonts w:ascii="Calibri" w:eastAsia="Times New Roman" w:hAnsi="Calibri" w:cs="Calibri"/>
          <w:color w:val="242424"/>
          <w:sz w:val="24"/>
          <w:szCs w:val="24"/>
        </w:rPr>
        <w:t>Lecturer mentoring regarding Range Elevation</w:t>
      </w:r>
    </w:p>
    <w:p w14:paraId="2DB63215" w14:textId="0FD5807D" w:rsidR="009A3029" w:rsidRDefault="009A3029" w:rsidP="009A3029">
      <w:pPr>
        <w:pStyle w:val="ListParagraph"/>
        <w:spacing w:after="0" w:line="240" w:lineRule="auto"/>
        <w:ind w:left="2520"/>
        <w:rPr>
          <w:rFonts w:cstheme="minorHAnsi"/>
          <w:sz w:val="24"/>
          <w:szCs w:val="24"/>
        </w:rPr>
      </w:pPr>
    </w:p>
    <w:p w14:paraId="57FEA057" w14:textId="3FFA599B" w:rsidR="00BF73F3" w:rsidRDefault="00BF73F3" w:rsidP="00B52BD7">
      <w:pPr>
        <w:pStyle w:val="ListParagraph"/>
        <w:numPr>
          <w:ilvl w:val="0"/>
          <w:numId w:val="3"/>
        </w:numPr>
        <w:spacing w:after="0" w:line="240" w:lineRule="auto"/>
        <w:rPr>
          <w:rFonts w:cstheme="minorHAnsi"/>
          <w:sz w:val="24"/>
          <w:szCs w:val="24"/>
        </w:rPr>
      </w:pPr>
      <w:r>
        <w:rPr>
          <w:rFonts w:cstheme="minorHAnsi"/>
          <w:sz w:val="24"/>
          <w:szCs w:val="24"/>
        </w:rPr>
        <w:t>Sastry’s report</w:t>
      </w:r>
    </w:p>
    <w:p w14:paraId="631758B6" w14:textId="77777777" w:rsidR="005C4A99" w:rsidRDefault="005C4A99" w:rsidP="001D3418">
      <w:pPr>
        <w:pStyle w:val="ListParagraph"/>
        <w:spacing w:after="0" w:line="240" w:lineRule="auto"/>
        <w:ind w:left="2160"/>
        <w:rPr>
          <w:rFonts w:eastAsia="Times New Roman"/>
          <w:sz w:val="24"/>
          <w:szCs w:val="24"/>
        </w:rPr>
      </w:pPr>
    </w:p>
    <w:p w14:paraId="456ACAC3" w14:textId="405E5730" w:rsidR="00C26C09" w:rsidRPr="00055804" w:rsidRDefault="00C26C09" w:rsidP="00781517">
      <w:pPr>
        <w:pStyle w:val="ListParagraph"/>
        <w:spacing w:before="240" w:after="0" w:line="240" w:lineRule="auto"/>
        <w:rPr>
          <w:rFonts w:cstheme="minorHAnsi"/>
          <w:sz w:val="24"/>
          <w:szCs w:val="24"/>
          <w:u w:val="single"/>
        </w:rPr>
      </w:pPr>
    </w:p>
    <w:p w14:paraId="78243988" w14:textId="2CF17834" w:rsidR="00F45F32" w:rsidRDefault="00F45F32" w:rsidP="00CE4C6C">
      <w:pPr>
        <w:pStyle w:val="PlainText"/>
        <w:ind w:firstLine="360"/>
      </w:pPr>
    </w:p>
    <w:p w14:paraId="360FC87C" w14:textId="04E5DBCA" w:rsidR="00C27E18" w:rsidRDefault="002741D1" w:rsidP="006B7C8D">
      <w:pPr>
        <w:spacing w:before="100" w:beforeAutospacing="1" w:after="100" w:afterAutospacing="1"/>
        <w:rPr>
          <w:rStyle w:val="Hyperlink"/>
          <w:rFonts w:ascii="Helvetica" w:hAnsi="Helvetica"/>
          <w:color w:val="0000FF"/>
          <w:sz w:val="24"/>
          <w:szCs w:val="24"/>
        </w:rPr>
      </w:pPr>
      <w:r>
        <w:rPr>
          <w:sz w:val="24"/>
          <w:szCs w:val="24"/>
        </w:rPr>
        <w:t>Z</w:t>
      </w:r>
      <w:r w:rsidR="00544426" w:rsidRPr="00FB108F">
        <w:rPr>
          <w:sz w:val="24"/>
          <w:szCs w:val="24"/>
        </w:rPr>
        <w:t xml:space="preserve">oom Link - </w:t>
      </w:r>
      <w:hyperlink r:id="rId9" w:history="1">
        <w:r w:rsidR="00544426" w:rsidRPr="00FB108F">
          <w:rPr>
            <w:rStyle w:val="Hyperlink"/>
            <w:rFonts w:ascii="Helvetica" w:hAnsi="Helvetica"/>
            <w:color w:val="0000FF"/>
            <w:sz w:val="24"/>
            <w:szCs w:val="24"/>
          </w:rPr>
          <w:t>https://csusb.zoom.us/j/8576302459</w:t>
        </w:r>
      </w:hyperlink>
    </w:p>
    <w:p w14:paraId="09E76C48" w14:textId="0DE7B9F9" w:rsidR="002741D1" w:rsidRPr="00245D66" w:rsidRDefault="009A15F7" w:rsidP="006B7C8D">
      <w:pPr>
        <w:spacing w:before="100" w:beforeAutospacing="1" w:after="100" w:afterAutospacing="1"/>
        <w:rPr>
          <w:sz w:val="24"/>
          <w:szCs w:val="24"/>
          <w:u w:val="single"/>
        </w:rPr>
      </w:pPr>
      <w:r w:rsidRPr="00245D66">
        <w:rPr>
          <w:sz w:val="24"/>
          <w:szCs w:val="24"/>
          <w:u w:val="single"/>
        </w:rPr>
        <w:t>Upcoming Events</w:t>
      </w:r>
    </w:p>
    <w:p w14:paraId="619E382C" w14:textId="51D429C9" w:rsidR="009A15F7" w:rsidRDefault="009A15F7" w:rsidP="009A15F7">
      <w:pPr>
        <w:shd w:val="clear" w:color="auto" w:fill="FFFFFF"/>
        <w:spacing w:after="0" w:line="240" w:lineRule="auto"/>
        <w:rPr>
          <w:rFonts w:ascii="Calibri" w:eastAsia="Times New Roman" w:hAnsi="Calibri" w:cs="Calibri"/>
          <w:color w:val="242424"/>
          <w:sz w:val="24"/>
          <w:szCs w:val="24"/>
        </w:rPr>
      </w:pPr>
      <w:r w:rsidRPr="009A15F7">
        <w:rPr>
          <w:rFonts w:ascii="Calibri" w:eastAsia="Times New Roman" w:hAnsi="Calibri" w:cs="Calibri"/>
          <w:color w:val="242424"/>
          <w:sz w:val="24"/>
          <w:szCs w:val="24"/>
        </w:rPr>
        <w:t>April 3: Summer registration begins</w:t>
      </w:r>
    </w:p>
    <w:p w14:paraId="5353F130" w14:textId="1CCE3D5D" w:rsidR="00553707" w:rsidRPr="009A15F7" w:rsidRDefault="00553707" w:rsidP="009A15F7">
      <w:pPr>
        <w:shd w:val="clear" w:color="auto" w:fill="FFFFFF"/>
        <w:spacing w:after="0" w:line="240" w:lineRule="auto"/>
        <w:rPr>
          <w:rFonts w:ascii="Calibri" w:eastAsia="Times New Roman" w:hAnsi="Calibri" w:cs="Calibri"/>
          <w:color w:val="242424"/>
          <w:sz w:val="24"/>
          <w:szCs w:val="24"/>
        </w:rPr>
      </w:pPr>
      <w:r>
        <w:rPr>
          <w:rFonts w:ascii="Calibri" w:eastAsia="Times New Roman" w:hAnsi="Calibri" w:cs="Calibri"/>
          <w:color w:val="242424"/>
          <w:sz w:val="24"/>
          <w:szCs w:val="24"/>
        </w:rPr>
        <w:t xml:space="preserve">April 11:  </w:t>
      </w:r>
      <w:r w:rsidR="00A25DAA" w:rsidRPr="00DA6398">
        <w:rPr>
          <w:rFonts w:cstheme="minorHAnsi"/>
          <w:color w:val="424242"/>
          <w:sz w:val="24"/>
          <w:szCs w:val="24"/>
          <w:shd w:val="clear" w:color="auto" w:fill="FFFFFF"/>
        </w:rPr>
        <w:t>College of Natural Sciences Open Forum with President Morales and Provost Mohamed</w:t>
      </w:r>
    </w:p>
    <w:p w14:paraId="0DDDCCAD" w14:textId="1EF8150A" w:rsidR="009A15F7" w:rsidRDefault="009A15F7" w:rsidP="009A15F7">
      <w:pPr>
        <w:shd w:val="clear" w:color="auto" w:fill="FFFFFF"/>
        <w:spacing w:after="0" w:line="240" w:lineRule="auto"/>
        <w:rPr>
          <w:rFonts w:ascii="Calibri" w:eastAsia="Times New Roman" w:hAnsi="Calibri" w:cs="Calibri"/>
          <w:color w:val="242424"/>
          <w:sz w:val="24"/>
          <w:szCs w:val="24"/>
        </w:rPr>
      </w:pPr>
      <w:r w:rsidRPr="009A15F7">
        <w:rPr>
          <w:rFonts w:ascii="Calibri" w:eastAsia="Times New Roman" w:hAnsi="Calibri" w:cs="Calibri"/>
          <w:color w:val="242424"/>
          <w:sz w:val="24"/>
          <w:szCs w:val="24"/>
        </w:rPr>
        <w:t>April 17: Fall registration begins</w:t>
      </w:r>
    </w:p>
    <w:p w14:paraId="2E4BF3E1" w14:textId="32D7D103" w:rsidR="00CF3F5E" w:rsidRDefault="00CF3F5E" w:rsidP="009A15F7">
      <w:pPr>
        <w:shd w:val="clear" w:color="auto" w:fill="FFFFFF"/>
        <w:spacing w:after="0" w:line="240" w:lineRule="auto"/>
        <w:rPr>
          <w:rFonts w:ascii="Calibri" w:eastAsia="Times New Roman" w:hAnsi="Calibri" w:cs="Calibri"/>
          <w:color w:val="242424"/>
          <w:sz w:val="24"/>
          <w:szCs w:val="24"/>
        </w:rPr>
      </w:pPr>
    </w:p>
    <w:p w14:paraId="1C7A2480" w14:textId="14D7161F" w:rsidR="00CF3F5E" w:rsidRDefault="00CF3F5E" w:rsidP="009A15F7">
      <w:pPr>
        <w:shd w:val="clear" w:color="auto" w:fill="FFFFFF"/>
        <w:spacing w:after="0" w:line="240" w:lineRule="auto"/>
        <w:rPr>
          <w:rFonts w:ascii="Calibri" w:eastAsia="Times New Roman" w:hAnsi="Calibri" w:cs="Calibri"/>
          <w:color w:val="242424"/>
          <w:sz w:val="24"/>
          <w:szCs w:val="24"/>
        </w:rPr>
      </w:pPr>
    </w:p>
    <w:p w14:paraId="1A787204" w14:textId="19BAB343" w:rsidR="00CF3F5E" w:rsidRDefault="00CF3F5E" w:rsidP="009A15F7">
      <w:pPr>
        <w:shd w:val="clear" w:color="auto" w:fill="FFFFFF"/>
        <w:spacing w:after="0" w:line="240" w:lineRule="auto"/>
        <w:rPr>
          <w:rFonts w:ascii="Calibri" w:eastAsia="Times New Roman" w:hAnsi="Calibri" w:cs="Calibri"/>
          <w:color w:val="242424"/>
          <w:sz w:val="24"/>
          <w:szCs w:val="24"/>
        </w:rPr>
      </w:pPr>
    </w:p>
    <w:p w14:paraId="2A7BC079" w14:textId="68939F19" w:rsidR="00CF3F5E" w:rsidRDefault="00CF3F5E" w:rsidP="009A15F7">
      <w:pPr>
        <w:shd w:val="clear" w:color="auto" w:fill="FFFFFF"/>
        <w:spacing w:after="0" w:line="240" w:lineRule="auto"/>
        <w:rPr>
          <w:rFonts w:ascii="Calibri" w:eastAsia="Times New Roman" w:hAnsi="Calibri" w:cs="Calibri"/>
          <w:color w:val="242424"/>
          <w:sz w:val="24"/>
          <w:szCs w:val="24"/>
        </w:rPr>
      </w:pPr>
    </w:p>
    <w:p w14:paraId="024B6451" w14:textId="21542FED" w:rsidR="00CF3F5E" w:rsidRDefault="00CF3F5E" w:rsidP="009A15F7">
      <w:pPr>
        <w:shd w:val="clear" w:color="auto" w:fill="FFFFFF"/>
        <w:spacing w:after="0" w:line="240" w:lineRule="auto"/>
        <w:rPr>
          <w:rFonts w:ascii="Calibri" w:eastAsia="Times New Roman" w:hAnsi="Calibri" w:cs="Calibri"/>
          <w:color w:val="242424"/>
          <w:sz w:val="24"/>
          <w:szCs w:val="24"/>
        </w:rPr>
      </w:pPr>
    </w:p>
    <w:p w14:paraId="2637A072" w14:textId="77777777" w:rsidR="00CF3F5E" w:rsidRDefault="00CF3F5E"/>
    <w:p w14:paraId="3F1301D7" w14:textId="77777777" w:rsidR="00CF3F5E" w:rsidRDefault="00CF3F5E" w:rsidP="00436E5B">
      <w:pPr>
        <w:spacing w:after="0" w:line="240" w:lineRule="auto"/>
        <w:jc w:val="center"/>
        <w:rPr>
          <w:b/>
          <w:bCs/>
          <w:sz w:val="32"/>
          <w:szCs w:val="32"/>
        </w:rPr>
      </w:pPr>
      <w:r>
        <w:rPr>
          <w:b/>
          <w:bCs/>
          <w:sz w:val="32"/>
          <w:szCs w:val="32"/>
        </w:rPr>
        <w:lastRenderedPageBreak/>
        <w:t xml:space="preserve">Faculty Research Fellow </w:t>
      </w:r>
      <w:r w:rsidRPr="00D32286">
        <w:rPr>
          <w:b/>
          <w:bCs/>
          <w:sz w:val="32"/>
          <w:szCs w:val="32"/>
        </w:rPr>
        <w:t>Report on</w:t>
      </w:r>
      <w:r>
        <w:rPr>
          <w:b/>
          <w:bCs/>
          <w:sz w:val="32"/>
          <w:szCs w:val="32"/>
        </w:rPr>
        <w:t>:</w:t>
      </w:r>
      <w:r w:rsidRPr="00D32286">
        <w:rPr>
          <w:b/>
          <w:bCs/>
          <w:sz w:val="32"/>
          <w:szCs w:val="32"/>
        </w:rPr>
        <w:t xml:space="preserve"> </w:t>
      </w:r>
    </w:p>
    <w:p w14:paraId="573A796F" w14:textId="77777777" w:rsidR="00CF3F5E" w:rsidRPr="00D32286" w:rsidRDefault="00CF3F5E" w:rsidP="00436E5B">
      <w:pPr>
        <w:spacing w:after="0" w:line="240" w:lineRule="auto"/>
        <w:jc w:val="center"/>
        <w:rPr>
          <w:b/>
          <w:bCs/>
          <w:sz w:val="32"/>
          <w:szCs w:val="32"/>
        </w:rPr>
      </w:pPr>
      <w:r w:rsidRPr="00D32286">
        <w:rPr>
          <w:b/>
          <w:bCs/>
          <w:sz w:val="32"/>
          <w:szCs w:val="32"/>
        </w:rPr>
        <w:t>CSUSB Research Capabilit</w:t>
      </w:r>
      <w:r>
        <w:rPr>
          <w:b/>
          <w:bCs/>
          <w:sz w:val="32"/>
          <w:szCs w:val="32"/>
        </w:rPr>
        <w:t>ies, Current Perceptions,</w:t>
      </w:r>
      <w:r w:rsidRPr="00D32286">
        <w:rPr>
          <w:b/>
          <w:bCs/>
          <w:sz w:val="32"/>
          <w:szCs w:val="32"/>
        </w:rPr>
        <w:t xml:space="preserve"> and R2 Status</w:t>
      </w:r>
    </w:p>
    <w:p w14:paraId="7951797A" w14:textId="77777777" w:rsidR="00CF3F5E" w:rsidRPr="00D32286" w:rsidRDefault="00CF3F5E" w:rsidP="00436E5B">
      <w:pPr>
        <w:shd w:val="clear" w:color="auto" w:fill="FFFFFF"/>
        <w:spacing w:after="0" w:line="240" w:lineRule="auto"/>
        <w:rPr>
          <w:rFonts w:ascii="Calibri" w:eastAsia="Times New Roman" w:hAnsi="Calibri" w:cs="Calibri"/>
        </w:rPr>
      </w:pPr>
    </w:p>
    <w:p w14:paraId="45AE3B93" w14:textId="77777777" w:rsidR="00CF3F5E" w:rsidRDefault="00CF3F5E" w:rsidP="006F5A01">
      <w:pPr>
        <w:shd w:val="clear" w:color="auto" w:fill="FFFFFF"/>
        <w:spacing w:after="0" w:line="240" w:lineRule="auto"/>
        <w:jc w:val="center"/>
        <w:rPr>
          <w:rFonts w:eastAsia="Times New Roman" w:cstheme="minorHAnsi"/>
          <w:b/>
          <w:bCs/>
          <w:sz w:val="24"/>
          <w:szCs w:val="24"/>
        </w:rPr>
      </w:pPr>
      <w:r w:rsidRPr="00BB450F">
        <w:rPr>
          <w:rFonts w:eastAsia="Times New Roman" w:cstheme="minorHAnsi"/>
          <w:b/>
          <w:bCs/>
          <w:sz w:val="24"/>
          <w:szCs w:val="24"/>
        </w:rPr>
        <w:t>Monty Van Wart</w:t>
      </w:r>
    </w:p>
    <w:p w14:paraId="483052CA" w14:textId="77777777" w:rsidR="00CF3F5E" w:rsidRPr="00BB450F" w:rsidRDefault="00CF3F5E" w:rsidP="006F5A01">
      <w:pPr>
        <w:shd w:val="clear" w:color="auto" w:fill="FFFFFF"/>
        <w:spacing w:after="0" w:line="240" w:lineRule="auto"/>
        <w:jc w:val="center"/>
        <w:rPr>
          <w:rFonts w:eastAsia="Times New Roman" w:cstheme="minorHAnsi"/>
          <w:b/>
          <w:bCs/>
          <w:sz w:val="24"/>
          <w:szCs w:val="24"/>
        </w:rPr>
      </w:pPr>
      <w:r>
        <w:rPr>
          <w:rFonts w:eastAsia="Times New Roman" w:cstheme="minorHAnsi"/>
          <w:b/>
          <w:bCs/>
          <w:sz w:val="24"/>
          <w:szCs w:val="24"/>
        </w:rPr>
        <w:t>February 2023</w:t>
      </w:r>
    </w:p>
    <w:p w14:paraId="00E4E7CD" w14:textId="77777777" w:rsidR="00CF3F5E" w:rsidRDefault="00CF3F5E" w:rsidP="00F8465B">
      <w:pPr>
        <w:shd w:val="clear" w:color="auto" w:fill="FFFFFF"/>
        <w:spacing w:after="0" w:line="240" w:lineRule="auto"/>
        <w:rPr>
          <w:rFonts w:eastAsia="Times New Roman" w:cstheme="minorHAnsi"/>
          <w:b/>
          <w:bCs/>
          <w:sz w:val="24"/>
          <w:szCs w:val="24"/>
          <w:u w:val="single"/>
        </w:rPr>
      </w:pPr>
    </w:p>
    <w:p w14:paraId="689D63D5" w14:textId="77777777" w:rsidR="00CF3F5E" w:rsidRDefault="00CF3F5E" w:rsidP="00F8465B">
      <w:pPr>
        <w:shd w:val="clear" w:color="auto" w:fill="FFFFFF"/>
        <w:spacing w:after="0" w:line="240" w:lineRule="auto"/>
        <w:rPr>
          <w:rFonts w:eastAsia="Times New Roman" w:cstheme="minorHAnsi"/>
          <w:b/>
          <w:bCs/>
          <w:sz w:val="24"/>
          <w:szCs w:val="24"/>
          <w:u w:val="single"/>
        </w:rPr>
      </w:pPr>
      <w:r w:rsidRPr="00F8465B">
        <w:rPr>
          <w:rFonts w:eastAsia="Times New Roman" w:cstheme="minorHAnsi"/>
          <w:b/>
          <w:bCs/>
          <w:sz w:val="24"/>
          <w:szCs w:val="24"/>
          <w:u w:val="single"/>
        </w:rPr>
        <w:t xml:space="preserve">Executive </w:t>
      </w:r>
      <w:r>
        <w:rPr>
          <w:rFonts w:eastAsia="Times New Roman" w:cstheme="minorHAnsi"/>
          <w:b/>
          <w:bCs/>
          <w:sz w:val="24"/>
          <w:szCs w:val="24"/>
          <w:u w:val="single"/>
        </w:rPr>
        <w:t>S</w:t>
      </w:r>
      <w:r w:rsidRPr="00F8465B">
        <w:rPr>
          <w:rFonts w:eastAsia="Times New Roman" w:cstheme="minorHAnsi"/>
          <w:b/>
          <w:bCs/>
          <w:sz w:val="24"/>
          <w:szCs w:val="24"/>
          <w:u w:val="single"/>
        </w:rPr>
        <w:t>ummary</w:t>
      </w:r>
    </w:p>
    <w:p w14:paraId="790BE3B4" w14:textId="77777777" w:rsidR="00CF3F5E" w:rsidRDefault="00CF3F5E" w:rsidP="00F8465B">
      <w:pPr>
        <w:shd w:val="clear" w:color="auto" w:fill="FFFFFF"/>
        <w:spacing w:after="0" w:line="240" w:lineRule="auto"/>
        <w:rPr>
          <w:rFonts w:eastAsia="Times New Roman" w:cstheme="minorHAnsi"/>
          <w:sz w:val="24"/>
          <w:szCs w:val="24"/>
        </w:rPr>
      </w:pPr>
    </w:p>
    <w:p w14:paraId="582B6953" w14:textId="77777777" w:rsidR="00CF3F5E" w:rsidRPr="004618D9" w:rsidRDefault="00CF3F5E" w:rsidP="020E2432">
      <w:pPr>
        <w:shd w:val="clear" w:color="auto" w:fill="FFFFFF" w:themeFill="background1"/>
        <w:spacing w:after="0" w:line="240" w:lineRule="auto"/>
        <w:rPr>
          <w:rFonts w:eastAsia="Times New Roman"/>
          <w:sz w:val="24"/>
          <w:szCs w:val="24"/>
        </w:rPr>
      </w:pPr>
      <w:r w:rsidRPr="020E2432">
        <w:rPr>
          <w:rFonts w:eastAsia="Times New Roman"/>
          <w:sz w:val="24"/>
          <w:szCs w:val="24"/>
        </w:rPr>
        <w:t xml:space="preserve">CSUSB has been dealing with significant challenging issues that impact its mission and resources for some time: Q2S, COVID, and GI 2025 are among them. Workload and teaching load vis-à-vis research intensity have been a concern to many faculty, </w:t>
      </w:r>
      <w:r w:rsidRPr="020E2432">
        <w:rPr>
          <w:rFonts w:eastAsia="Times New Roman"/>
          <w:sz w:val="24"/>
          <w:szCs w:val="24"/>
          <w:highlight w:val="yellow"/>
        </w:rPr>
        <w:t>and the new designation as a Carnegie R2 institution has raised the level of confusion considerably</w:t>
      </w:r>
      <w:r w:rsidRPr="020E2432">
        <w:rPr>
          <w:rFonts w:eastAsia="Times New Roman"/>
          <w:sz w:val="24"/>
          <w:szCs w:val="24"/>
        </w:rPr>
        <w:t xml:space="preserve">. This report reviews various aspects of CSUSB’s research mission. Those aspects are the current institutional research profile, types of public higher education institutions, current perceptions of a nonrandom sample of faculty, additional considerations, and Faculty Research Fellow recommendations. </w:t>
      </w:r>
    </w:p>
    <w:p w14:paraId="14747597" w14:textId="77777777" w:rsidR="00CF3F5E" w:rsidRPr="00F8465B" w:rsidRDefault="00CF3F5E" w:rsidP="00F8465B">
      <w:pPr>
        <w:shd w:val="clear" w:color="auto" w:fill="FFFFFF"/>
        <w:spacing w:after="0" w:line="240" w:lineRule="auto"/>
        <w:rPr>
          <w:rFonts w:eastAsia="Times New Roman" w:cstheme="minorHAnsi"/>
          <w:sz w:val="24"/>
          <w:szCs w:val="24"/>
        </w:rPr>
      </w:pPr>
    </w:p>
    <w:p w14:paraId="52CFCC90" w14:textId="77777777" w:rsidR="00CF3F5E" w:rsidRDefault="00CF3F5E" w:rsidP="00F8465B">
      <w:pPr>
        <w:shd w:val="clear" w:color="auto" w:fill="FFFFFF"/>
        <w:spacing w:after="0" w:line="240" w:lineRule="auto"/>
        <w:rPr>
          <w:rFonts w:eastAsia="Times New Roman" w:cstheme="minorHAnsi"/>
          <w:b/>
          <w:bCs/>
          <w:sz w:val="24"/>
          <w:szCs w:val="24"/>
          <w:u w:val="single"/>
        </w:rPr>
      </w:pPr>
      <w:r w:rsidRPr="00F8465B">
        <w:rPr>
          <w:rFonts w:eastAsia="Times New Roman" w:cstheme="minorHAnsi"/>
          <w:b/>
          <w:bCs/>
          <w:sz w:val="24"/>
          <w:szCs w:val="24"/>
          <w:u w:val="single"/>
        </w:rPr>
        <w:t xml:space="preserve">Current </w:t>
      </w:r>
      <w:r>
        <w:rPr>
          <w:rFonts w:eastAsia="Times New Roman" w:cstheme="minorHAnsi"/>
          <w:b/>
          <w:bCs/>
          <w:sz w:val="24"/>
          <w:szCs w:val="24"/>
          <w:u w:val="single"/>
        </w:rPr>
        <w:t>Institutional S</w:t>
      </w:r>
      <w:r w:rsidRPr="00F8465B">
        <w:rPr>
          <w:rFonts w:eastAsia="Times New Roman" w:cstheme="minorHAnsi"/>
          <w:b/>
          <w:bCs/>
          <w:sz w:val="24"/>
          <w:szCs w:val="24"/>
          <w:u w:val="single"/>
        </w:rPr>
        <w:t xml:space="preserve">cholarly </w:t>
      </w:r>
      <w:r>
        <w:rPr>
          <w:rFonts w:eastAsia="Times New Roman" w:cstheme="minorHAnsi"/>
          <w:b/>
          <w:bCs/>
          <w:sz w:val="24"/>
          <w:szCs w:val="24"/>
          <w:u w:val="single"/>
        </w:rPr>
        <w:t>R</w:t>
      </w:r>
      <w:r w:rsidRPr="00F8465B">
        <w:rPr>
          <w:rFonts w:eastAsia="Times New Roman" w:cstheme="minorHAnsi"/>
          <w:b/>
          <w:bCs/>
          <w:sz w:val="24"/>
          <w:szCs w:val="24"/>
          <w:u w:val="single"/>
        </w:rPr>
        <w:t xml:space="preserve">esearch </w:t>
      </w:r>
      <w:r>
        <w:rPr>
          <w:rFonts w:eastAsia="Times New Roman" w:cstheme="minorHAnsi"/>
          <w:b/>
          <w:bCs/>
          <w:sz w:val="24"/>
          <w:szCs w:val="24"/>
          <w:u w:val="single"/>
        </w:rPr>
        <w:t>P</w:t>
      </w:r>
      <w:r w:rsidRPr="00F8465B">
        <w:rPr>
          <w:rFonts w:eastAsia="Times New Roman" w:cstheme="minorHAnsi"/>
          <w:b/>
          <w:bCs/>
          <w:sz w:val="24"/>
          <w:szCs w:val="24"/>
          <w:u w:val="single"/>
        </w:rPr>
        <w:t>rofile</w:t>
      </w:r>
    </w:p>
    <w:p w14:paraId="08E79EB0" w14:textId="77777777" w:rsidR="00CF3F5E" w:rsidRDefault="00CF3F5E" w:rsidP="00F8465B">
      <w:pPr>
        <w:shd w:val="clear" w:color="auto" w:fill="FFFFFF"/>
        <w:spacing w:after="0" w:line="240" w:lineRule="auto"/>
        <w:rPr>
          <w:rFonts w:eastAsia="Times New Roman" w:cstheme="minorHAnsi"/>
          <w:sz w:val="24"/>
          <w:szCs w:val="24"/>
        </w:rPr>
      </w:pPr>
    </w:p>
    <w:p w14:paraId="38BF6868" w14:textId="77777777" w:rsidR="00CF3F5E" w:rsidRPr="00F8465B" w:rsidRDefault="00CF3F5E" w:rsidP="00F8465B">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Four aspects of CSUSB institutional scholarly research capacity are discussed below. </w:t>
      </w:r>
    </w:p>
    <w:p w14:paraId="2215268A" w14:textId="77777777" w:rsidR="00CF3F5E" w:rsidRDefault="00CF3F5E" w:rsidP="00F8465B">
      <w:pPr>
        <w:shd w:val="clear" w:color="auto" w:fill="FFFFFF"/>
        <w:spacing w:after="0" w:line="240" w:lineRule="auto"/>
        <w:rPr>
          <w:rFonts w:eastAsia="Times New Roman" w:cstheme="minorHAnsi"/>
          <w:sz w:val="24"/>
          <w:szCs w:val="24"/>
        </w:rPr>
      </w:pPr>
    </w:p>
    <w:p w14:paraId="20743DEC" w14:textId="77777777" w:rsidR="00CF3F5E" w:rsidRPr="00731680" w:rsidRDefault="00CF3F5E" w:rsidP="00436E5B">
      <w:pPr>
        <w:rPr>
          <w:rFonts w:ascii="Calibri" w:hAnsi="Calibri" w:cs="Calibri"/>
          <w:bCs/>
          <w:color w:val="000000"/>
          <w:sz w:val="24"/>
          <w:szCs w:val="24"/>
          <w:shd w:val="clear" w:color="auto" w:fill="FFFFFF"/>
        </w:rPr>
      </w:pPr>
      <w:r w:rsidRPr="00F8465B">
        <w:rPr>
          <w:rFonts w:eastAsia="Times New Roman" w:cstheme="minorHAnsi"/>
          <w:b/>
          <w:bCs/>
          <w:sz w:val="24"/>
          <w:szCs w:val="24"/>
        </w:rPr>
        <w:t>Scholarly research standing</w:t>
      </w:r>
      <w:r>
        <w:rPr>
          <w:rFonts w:eastAsia="Times New Roman" w:cstheme="minorHAnsi"/>
          <w:sz w:val="24"/>
          <w:szCs w:val="24"/>
        </w:rPr>
        <w:t xml:space="preserve">: </w:t>
      </w:r>
      <w:r>
        <w:rPr>
          <w:rFonts w:ascii="Calibri" w:hAnsi="Calibri" w:cs="Calibri"/>
          <w:bCs/>
          <w:color w:val="000000"/>
          <w:sz w:val="24"/>
          <w:szCs w:val="24"/>
          <w:shd w:val="clear" w:color="auto" w:fill="FFFFFF"/>
        </w:rPr>
        <w:t xml:space="preserve">While CSUSB is not included in most of the more selective world rankings (e.g., Academic Ranking of World Universities), it is ranked in the </w:t>
      </w:r>
      <w:proofErr w:type="spellStart"/>
      <w:r>
        <w:rPr>
          <w:rFonts w:ascii="Calibri" w:hAnsi="Calibri" w:cs="Calibri"/>
          <w:bCs/>
          <w:color w:val="000000"/>
          <w:sz w:val="24"/>
          <w:szCs w:val="24"/>
          <w:shd w:val="clear" w:color="auto" w:fill="FFFFFF"/>
        </w:rPr>
        <w:t>Scimago</w:t>
      </w:r>
      <w:proofErr w:type="spellEnd"/>
      <w:r>
        <w:rPr>
          <w:rFonts w:ascii="Calibri" w:hAnsi="Calibri" w:cs="Calibri"/>
          <w:bCs/>
          <w:color w:val="000000"/>
          <w:sz w:val="24"/>
          <w:szCs w:val="24"/>
          <w:shd w:val="clear" w:color="auto" w:fill="FFFFFF"/>
        </w:rPr>
        <w:t xml:space="preserve"> Institutions Rankings system of the top 4123 universities in the world of which 511 are in the US (2021). In that ranking on the research element of institutions, CSUSB is in the top 84</w:t>
      </w:r>
      <w:r w:rsidRPr="00CD35E0">
        <w:rPr>
          <w:rFonts w:ascii="Calibri" w:hAnsi="Calibri" w:cs="Calibri"/>
          <w:bCs/>
          <w:color w:val="000000"/>
          <w:sz w:val="24"/>
          <w:szCs w:val="24"/>
          <w:shd w:val="clear" w:color="auto" w:fill="FFFFFF"/>
          <w:vertAlign w:val="superscript"/>
        </w:rPr>
        <w:t>th</w:t>
      </w:r>
      <w:r>
        <w:rPr>
          <w:rFonts w:ascii="Calibri" w:hAnsi="Calibri" w:cs="Calibri"/>
          <w:bCs/>
          <w:color w:val="000000"/>
          <w:sz w:val="24"/>
          <w:szCs w:val="24"/>
          <w:shd w:val="clear" w:color="auto" w:fill="FFFFFF"/>
        </w:rPr>
        <w:t xml:space="preserve"> percentile (with 1% being the highest). CSUSB is ranked 16</w:t>
      </w:r>
      <w:r w:rsidRPr="000C1C62">
        <w:rPr>
          <w:rFonts w:ascii="Calibri" w:hAnsi="Calibri" w:cs="Calibri"/>
          <w:bCs/>
          <w:color w:val="000000"/>
          <w:sz w:val="24"/>
          <w:szCs w:val="24"/>
          <w:shd w:val="clear" w:color="auto" w:fill="FFFFFF"/>
          <w:vertAlign w:val="superscript"/>
        </w:rPr>
        <w:t>th</w:t>
      </w:r>
      <w:r>
        <w:rPr>
          <w:rFonts w:ascii="Calibri" w:hAnsi="Calibri" w:cs="Calibri"/>
          <w:bCs/>
          <w:color w:val="000000"/>
          <w:sz w:val="24"/>
          <w:szCs w:val="24"/>
          <w:shd w:val="clear" w:color="auto" w:fill="FFFFFF"/>
        </w:rPr>
        <w:t xml:space="preserve"> among the CSUs, preceded by, in order:  San Diego State, Bakersfield, San Francisco State, Sonoma, Long Beach, Northridge, San Luis Obispo, San Jose, Fullerton, San Marcos, Los Angeles, Fresno, Dominguez Hills, East Bay, and Sacramento.  Five other CSUs are classified as R2 institutions by the Carnegie Classification Index (See </w:t>
      </w:r>
      <w:r w:rsidRPr="008F4BFA">
        <w:rPr>
          <w:rFonts w:ascii="Calibri" w:hAnsi="Calibri" w:cs="Calibri"/>
          <w:bCs/>
          <w:i/>
          <w:iCs/>
          <w:color w:val="000000"/>
          <w:sz w:val="24"/>
          <w:szCs w:val="24"/>
          <w:u w:val="single"/>
          <w:shd w:val="clear" w:color="auto" w:fill="FFFFFF"/>
        </w:rPr>
        <w:t>Appendix A</w:t>
      </w:r>
      <w:r>
        <w:rPr>
          <w:rFonts w:ascii="Calibri" w:hAnsi="Calibri" w:cs="Calibri"/>
          <w:bCs/>
          <w:color w:val="000000"/>
          <w:sz w:val="24"/>
          <w:szCs w:val="24"/>
          <w:shd w:val="clear" w:color="auto" w:fill="FFFFFF"/>
        </w:rPr>
        <w:t xml:space="preserve">).  </w:t>
      </w:r>
    </w:p>
    <w:p w14:paraId="26784CA5" w14:textId="77777777" w:rsidR="00CF3F5E" w:rsidRDefault="00CF3F5E" w:rsidP="00731680">
      <w:pPr>
        <w:rPr>
          <w:rFonts w:ascii="Calibri" w:hAnsi="Calibri" w:cs="Calibri"/>
          <w:bCs/>
          <w:color w:val="000000"/>
          <w:sz w:val="24"/>
          <w:szCs w:val="24"/>
          <w:shd w:val="clear" w:color="auto" w:fill="FFFFFF"/>
        </w:rPr>
      </w:pPr>
      <w:r w:rsidRPr="00731680">
        <w:rPr>
          <w:rFonts w:ascii="Calibri" w:hAnsi="Calibri" w:cs="Calibri"/>
          <w:b/>
          <w:color w:val="000000"/>
          <w:sz w:val="24"/>
          <w:szCs w:val="24"/>
          <w:shd w:val="clear" w:color="auto" w:fill="FFFFFF"/>
        </w:rPr>
        <w:t xml:space="preserve">Comparative </w:t>
      </w:r>
      <w:r>
        <w:rPr>
          <w:rFonts w:ascii="Calibri" w:hAnsi="Calibri" w:cs="Calibri"/>
          <w:b/>
          <w:color w:val="000000"/>
          <w:sz w:val="24"/>
          <w:szCs w:val="24"/>
          <w:shd w:val="clear" w:color="auto" w:fill="FFFFFF"/>
        </w:rPr>
        <w:t>r</w:t>
      </w:r>
      <w:r w:rsidRPr="00731680">
        <w:rPr>
          <w:rFonts w:ascii="Calibri" w:hAnsi="Calibri" w:cs="Calibri"/>
          <w:b/>
          <w:color w:val="000000"/>
          <w:sz w:val="24"/>
          <w:szCs w:val="24"/>
          <w:shd w:val="clear" w:color="auto" w:fill="FFFFFF"/>
        </w:rPr>
        <w:t xml:space="preserve">esearch </w:t>
      </w:r>
      <w:r>
        <w:rPr>
          <w:rFonts w:ascii="Calibri" w:hAnsi="Calibri" w:cs="Calibri"/>
          <w:b/>
          <w:color w:val="000000"/>
          <w:sz w:val="24"/>
          <w:szCs w:val="24"/>
          <w:shd w:val="clear" w:color="auto" w:fill="FFFFFF"/>
        </w:rPr>
        <w:t>p</w:t>
      </w:r>
      <w:r w:rsidRPr="00731680">
        <w:rPr>
          <w:rFonts w:ascii="Calibri" w:hAnsi="Calibri" w:cs="Calibri"/>
          <w:b/>
          <w:color w:val="000000"/>
          <w:sz w:val="24"/>
          <w:szCs w:val="24"/>
          <w:shd w:val="clear" w:color="auto" w:fill="FFFFFF"/>
        </w:rPr>
        <w:t>roductivity</w:t>
      </w:r>
      <w:r>
        <w:rPr>
          <w:rFonts w:ascii="Calibri" w:hAnsi="Calibri" w:cs="Calibri"/>
          <w:bCs/>
          <w:color w:val="000000"/>
          <w:sz w:val="24"/>
          <w:szCs w:val="24"/>
          <w:shd w:val="clear" w:color="auto" w:fill="FFFFFF"/>
        </w:rPr>
        <w:t xml:space="preserve">:  Research productivity of individual faculty vary for many reasons including disciplinary differences in research approaches (e.g., individual versus team approaches), non-research focus per se (e.g., the fine arts), and emphasis on reporting rather than publishing (such as in applied service grants). Successful faculty researchers in the hard sciences and large disciplines tend to have higher rates, followed closely by productive social science faculty, but faculty active in research in small disciplines and the humanities tend to have substantially smaller citation counts solely based on the structure of the discipline. Nonetheless, absolute citation counts do provide a general insight into the comparative productivity of research-intensive faculty. Numerous citation systems exist. Here we rely on Google Scholar because of its inclusiveness of books and non-scholarly citations. </w:t>
      </w:r>
    </w:p>
    <w:p w14:paraId="70211B79" w14:textId="77777777" w:rsidR="00CF3F5E" w:rsidRDefault="00CF3F5E" w:rsidP="00731680">
      <w:pPr>
        <w:rPr>
          <w:rFonts w:ascii="Calibri" w:hAnsi="Calibri" w:cs="Calibri"/>
          <w:bCs/>
          <w:color w:val="000000"/>
          <w:sz w:val="24"/>
          <w:szCs w:val="24"/>
          <w:shd w:val="clear" w:color="auto" w:fill="FFFFFF"/>
        </w:rPr>
      </w:pPr>
    </w:p>
    <w:p w14:paraId="4127E060" w14:textId="77777777" w:rsidR="00CF3F5E" w:rsidRDefault="00CF3F5E" w:rsidP="00731680">
      <w:pPr>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 xml:space="preserve">Averaging all disciplines, once a scholar has exceeded 500 Google Scholar (GS) citations, it equates to a modest but significant level of research achievement. Above 1,000 citations indicate a moderate record, and above 2,000 indicates a substantial record. In science and large disciplines, academic “stars” may have above 5,000 citations and “superstars” may have above 20,000 GS citations. At the other end of the citation spectrum, achieving one-third of these citation counts may be equivalent in the small disciplines and humanities. </w:t>
      </w:r>
    </w:p>
    <w:p w14:paraId="31D7A09D" w14:textId="77777777" w:rsidR="00CF3F5E" w:rsidRDefault="00CF3F5E" w:rsidP="00731680">
      <w:pPr>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 xml:space="preserve">A review of faculty citation counts in December, 2022, revealed that 91 faculty had above 500 GS citations. Of those, 29 had more than 1,000 citations and 16 had more than 2,000 GS citations. Given that the university </w:t>
      </w:r>
      <w:r>
        <w:rPr>
          <w:rFonts w:ascii="Calibri" w:hAnsi="Calibri" w:cs="Calibri"/>
          <w:bCs/>
          <w:color w:val="000000"/>
          <w:sz w:val="24"/>
          <w:szCs w:val="24"/>
          <w:shd w:val="clear" w:color="auto" w:fill="FFFFFF"/>
        </w:rPr>
        <w:lastRenderedPageBreak/>
        <w:t>has a little less than 200,000 Google Scholar citations by current faculty and the top 91 produced a little over 150,000 GS citations, it means that the top 20% of the faculty produced over three quarters of the research visibility. This is partially caused by the fact that top research faculty are more likely to publish in very good to flagship journals and presses. See Appendix B for details.</w:t>
      </w:r>
    </w:p>
    <w:p w14:paraId="3839636E" w14:textId="77777777" w:rsidR="00CF3F5E" w:rsidRDefault="00CF3F5E" w:rsidP="00436E5B">
      <w:pPr>
        <w:rPr>
          <w:rFonts w:ascii="Calibri" w:hAnsi="Calibri" w:cs="Calibri"/>
          <w:b/>
          <w:color w:val="000000"/>
          <w:sz w:val="24"/>
          <w:szCs w:val="24"/>
          <w:shd w:val="clear" w:color="auto" w:fill="FFFFFF"/>
        </w:rPr>
      </w:pPr>
      <w:r>
        <w:rPr>
          <w:rFonts w:ascii="Calibri" w:hAnsi="Calibri" w:cs="Calibri"/>
          <w:b/>
          <w:color w:val="000000"/>
          <w:sz w:val="24"/>
          <w:szCs w:val="24"/>
          <w:shd w:val="clear" w:color="auto" w:fill="FFFFFF"/>
        </w:rPr>
        <w:t>R</w:t>
      </w:r>
      <w:r w:rsidRPr="008B025D">
        <w:rPr>
          <w:rFonts w:ascii="Calibri" w:hAnsi="Calibri" w:cs="Calibri"/>
          <w:b/>
          <w:color w:val="000000"/>
          <w:sz w:val="24"/>
          <w:szCs w:val="24"/>
          <w:shd w:val="clear" w:color="auto" w:fill="FFFFFF"/>
        </w:rPr>
        <w:t>esearch visibility, public access, and professional reporting</w:t>
      </w:r>
      <w:r>
        <w:rPr>
          <w:rFonts w:ascii="Calibri" w:hAnsi="Calibri" w:cs="Calibri"/>
          <w:b/>
          <w:color w:val="000000"/>
          <w:sz w:val="24"/>
          <w:szCs w:val="24"/>
          <w:shd w:val="clear" w:color="auto" w:fill="FFFFFF"/>
        </w:rPr>
        <w:t>.</w:t>
      </w:r>
    </w:p>
    <w:p w14:paraId="0CA835E0" w14:textId="77777777" w:rsidR="00CF3F5E" w:rsidRDefault="00CF3F5E" w:rsidP="00436E5B">
      <w:pPr>
        <w:rPr>
          <w:rFonts w:ascii="Calibri" w:hAnsi="Calibri" w:cs="Calibri"/>
          <w:bCs/>
          <w:color w:val="000000"/>
          <w:sz w:val="24"/>
          <w:szCs w:val="24"/>
          <w:shd w:val="clear" w:color="auto" w:fill="FFFFFF"/>
        </w:rPr>
      </w:pPr>
      <w:r w:rsidRPr="00582483">
        <w:rPr>
          <w:rFonts w:ascii="Calibri" w:hAnsi="Calibri" w:cs="Calibri"/>
          <w:bCs/>
          <w:color w:val="000000"/>
          <w:sz w:val="24"/>
          <w:szCs w:val="24"/>
          <w:shd w:val="clear" w:color="auto" w:fill="FFFFFF"/>
        </w:rPr>
        <w:t xml:space="preserve">Research visibility, public access, and professional reporting are vitally important to any university that wants </w:t>
      </w:r>
      <w:r>
        <w:rPr>
          <w:rFonts w:ascii="Calibri" w:hAnsi="Calibri" w:cs="Calibri"/>
          <w:bCs/>
          <w:color w:val="000000"/>
          <w:sz w:val="24"/>
          <w:szCs w:val="24"/>
          <w:shd w:val="clear" w:color="auto" w:fill="FFFFFF"/>
        </w:rPr>
        <w:t xml:space="preserve">to be widely recognized as a quality institution, as open, and as demonstrably competent. Research visibility ensures easy and wide dissemination about the research achievements of its faculty and students. When universities have well publicized data regarding their research productivity, they tend to have </w:t>
      </w:r>
      <w:r w:rsidRPr="00FB18D3">
        <w:rPr>
          <w:rFonts w:ascii="Calibri" w:hAnsi="Calibri" w:cs="Calibri"/>
          <w:bCs/>
          <w:i/>
          <w:iCs/>
          <w:color w:val="000000"/>
          <w:sz w:val="24"/>
          <w:szCs w:val="24"/>
          <w:shd w:val="clear" w:color="auto" w:fill="FFFFFF"/>
        </w:rPr>
        <w:t>better reputations</w:t>
      </w:r>
      <w:r>
        <w:rPr>
          <w:rFonts w:ascii="Calibri" w:hAnsi="Calibri" w:cs="Calibri"/>
          <w:bCs/>
          <w:color w:val="000000"/>
          <w:sz w:val="24"/>
          <w:szCs w:val="24"/>
          <w:shd w:val="clear" w:color="auto" w:fill="FFFFFF"/>
        </w:rPr>
        <w:t xml:space="preserve">. Better research visibility also </w:t>
      </w:r>
      <w:r w:rsidRPr="00461DE1">
        <w:rPr>
          <w:rFonts w:ascii="Calibri" w:hAnsi="Calibri" w:cs="Calibri"/>
          <w:bCs/>
          <w:i/>
          <w:iCs/>
          <w:color w:val="000000"/>
          <w:sz w:val="24"/>
          <w:szCs w:val="24"/>
          <w:shd w:val="clear" w:color="auto" w:fill="FFFFFF"/>
        </w:rPr>
        <w:t>enhances recruitment</w:t>
      </w:r>
      <w:r>
        <w:rPr>
          <w:rFonts w:ascii="Calibri" w:hAnsi="Calibri" w:cs="Calibri"/>
          <w:bCs/>
          <w:color w:val="000000"/>
          <w:sz w:val="24"/>
          <w:szCs w:val="24"/>
          <w:shd w:val="clear" w:color="auto" w:fill="FFFFFF"/>
        </w:rPr>
        <w:t xml:space="preserve">. With research visibility, students learn of their faculty’s achievement and tell family and friends. In turn, they spread the good word and future prospective students are more likely to seek out CSUSB. This is paramount in our graduate programs in which reputation is very important for students. Good public access is not simply a nice-to-do function; it is a matter of </w:t>
      </w:r>
      <w:r w:rsidRPr="004E623C">
        <w:rPr>
          <w:rFonts w:ascii="Calibri" w:hAnsi="Calibri" w:cs="Calibri"/>
          <w:bCs/>
          <w:i/>
          <w:iCs/>
          <w:color w:val="000000"/>
          <w:sz w:val="24"/>
          <w:szCs w:val="24"/>
          <w:shd w:val="clear" w:color="auto" w:fill="FFFFFF"/>
        </w:rPr>
        <w:t>public accountability and ethical transparency</w:t>
      </w:r>
      <w:r>
        <w:rPr>
          <w:rFonts w:ascii="Calibri" w:hAnsi="Calibri" w:cs="Calibri"/>
          <w:bCs/>
          <w:color w:val="000000"/>
          <w:sz w:val="24"/>
          <w:szCs w:val="24"/>
          <w:shd w:val="clear" w:color="auto" w:fill="FFFFFF"/>
        </w:rPr>
        <w:t xml:space="preserve">. In an age that is critical of government, it is important to prevent perceptions of opaqueness, low productivity, and bureaucratic secrecy. When information is hard-to-find or buried, public suspicion is understandably high. The public has a right to know about our productivity. Finally, all of the traditional professions—medicine, dentistry, and law—expect professionals (who are allowed tremendous flexibility and discretion based on their advanced expertise) to provide professional statistics and self-accountability. Providing productivity metrics in lieu of significant supervision is simply an expectation of professionals today. Further, institutions are expected to make decisions based on </w:t>
      </w:r>
      <w:r w:rsidRPr="006009DF">
        <w:rPr>
          <w:rFonts w:ascii="Calibri" w:hAnsi="Calibri" w:cs="Calibri"/>
          <w:bCs/>
          <w:i/>
          <w:iCs/>
          <w:color w:val="000000"/>
          <w:sz w:val="24"/>
          <w:szCs w:val="24"/>
          <w:shd w:val="clear" w:color="auto" w:fill="FFFFFF"/>
        </w:rPr>
        <w:t>evidence</w:t>
      </w:r>
      <w:r>
        <w:rPr>
          <w:rFonts w:ascii="Calibri" w:hAnsi="Calibri" w:cs="Calibri"/>
          <w:bCs/>
          <w:color w:val="000000"/>
          <w:sz w:val="24"/>
          <w:szCs w:val="24"/>
          <w:shd w:val="clear" w:color="auto" w:fill="FFFFFF"/>
        </w:rPr>
        <w:t>.</w:t>
      </w:r>
    </w:p>
    <w:p w14:paraId="2C278DB8" w14:textId="77777777" w:rsidR="00CF3F5E" w:rsidRDefault="00CF3F5E" w:rsidP="00436E5B">
      <w:pPr>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Research visibility is demonstrated in many ways. In a review of research visibility performed in December 2022, several aspects were investigated: (a) a well-articulated and up-to-date university webpage (all faculty have a webpage to fill in), and (b) posted, up-to-date curricula vita OR personal or lab websites, OR a publication list, OR a link to a Google Scholar Profile account.</w:t>
      </w:r>
    </w:p>
    <w:p w14:paraId="0474A04B" w14:textId="77777777" w:rsidR="00CF3F5E" w:rsidRDefault="00CF3F5E" w:rsidP="00436E5B">
      <w:pPr>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 xml:space="preserve">Twenty-one percent of the faculty have a robust research presence. That is, 21% have both a robust webpage presence and a substantial link to a publication list, or CV, or webpage, etc.  Thirty-seven percent of the faculty have a moderate research presence. That effectively means that at least one element of research presence was good. Twenty percent of the faculty have a weak research presence. That means that they have no CV or equivalent link, and that their webpage description is relatively scant (and may not even mention their research interests). Twenty-two percent have no presence whatsoever on their university webpage and no link to a CV or other source such as a personal webpage.  See </w:t>
      </w:r>
      <w:r w:rsidRPr="00C659D2">
        <w:rPr>
          <w:rFonts w:ascii="Calibri" w:hAnsi="Calibri" w:cs="Calibri"/>
          <w:bCs/>
          <w:color w:val="000000"/>
          <w:sz w:val="24"/>
          <w:szCs w:val="24"/>
          <w:shd w:val="clear" w:color="auto" w:fill="FFFFFF"/>
        </w:rPr>
        <w:t xml:space="preserve">Appendix </w:t>
      </w:r>
      <w:r>
        <w:rPr>
          <w:rFonts w:ascii="Calibri" w:hAnsi="Calibri" w:cs="Calibri"/>
          <w:bCs/>
          <w:color w:val="000000"/>
          <w:sz w:val="24"/>
          <w:szCs w:val="24"/>
          <w:shd w:val="clear" w:color="auto" w:fill="FFFFFF"/>
        </w:rPr>
        <w:t>C for the detailed data estimates.</w:t>
      </w:r>
    </w:p>
    <w:p w14:paraId="09360590" w14:textId="77777777" w:rsidR="00CF3F5E" w:rsidRDefault="00CF3F5E" w:rsidP="000F1887">
      <w:pPr>
        <w:shd w:val="clear" w:color="auto" w:fill="FFFFFF"/>
        <w:spacing w:after="0" w:line="240" w:lineRule="auto"/>
        <w:rPr>
          <w:rFonts w:eastAsia="Times New Roman" w:cstheme="minorHAnsi"/>
          <w:b/>
          <w:bCs/>
          <w:sz w:val="24"/>
          <w:szCs w:val="24"/>
        </w:rPr>
      </w:pPr>
      <w:r w:rsidRPr="000F1887">
        <w:rPr>
          <w:rFonts w:eastAsia="Times New Roman" w:cstheme="minorHAnsi"/>
          <w:b/>
          <w:bCs/>
          <w:sz w:val="24"/>
          <w:szCs w:val="24"/>
        </w:rPr>
        <w:t>Current support for scholarly research productivity</w:t>
      </w:r>
    </w:p>
    <w:p w14:paraId="78800E25" w14:textId="77777777" w:rsidR="00CF3F5E" w:rsidRDefault="00CF3F5E" w:rsidP="000F1887">
      <w:pPr>
        <w:shd w:val="clear" w:color="auto" w:fill="FFFFFF"/>
        <w:spacing w:after="0" w:line="240" w:lineRule="auto"/>
        <w:rPr>
          <w:rFonts w:eastAsia="Times New Roman" w:cstheme="minorHAnsi"/>
          <w:b/>
          <w:bCs/>
          <w:sz w:val="24"/>
          <w:szCs w:val="24"/>
        </w:rPr>
      </w:pPr>
    </w:p>
    <w:p w14:paraId="63ABA16B" w14:textId="77777777" w:rsidR="00CF3F5E" w:rsidRDefault="00CF3F5E" w:rsidP="000F1887">
      <w:pPr>
        <w:shd w:val="clear" w:color="auto" w:fill="FFFFFF"/>
        <w:spacing w:after="0" w:line="240" w:lineRule="auto"/>
        <w:rPr>
          <w:rFonts w:eastAsia="Times New Roman" w:cstheme="minorHAnsi"/>
          <w:sz w:val="24"/>
          <w:szCs w:val="24"/>
        </w:rPr>
      </w:pPr>
      <w:r>
        <w:rPr>
          <w:rFonts w:eastAsia="Times New Roman" w:cstheme="minorHAnsi"/>
          <w:sz w:val="24"/>
          <w:szCs w:val="24"/>
        </w:rPr>
        <w:t>Several types of major support for scholarly research productivity are briefly reviewed here. Some concrete data was not easily accessible to the report author; it would be useful to gather additional information in the future for comparative purposes.</w:t>
      </w:r>
    </w:p>
    <w:p w14:paraId="4A5C6900" w14:textId="77777777" w:rsidR="00CF3F5E" w:rsidRDefault="00CF3F5E" w:rsidP="000F1887">
      <w:pPr>
        <w:shd w:val="clear" w:color="auto" w:fill="FFFFFF"/>
        <w:spacing w:after="0" w:line="240" w:lineRule="auto"/>
        <w:rPr>
          <w:rFonts w:eastAsia="Times New Roman" w:cstheme="minorHAnsi"/>
          <w:sz w:val="24"/>
          <w:szCs w:val="24"/>
        </w:rPr>
      </w:pPr>
    </w:p>
    <w:p w14:paraId="56350AC0" w14:textId="77777777" w:rsidR="00CF3F5E" w:rsidRDefault="00CF3F5E" w:rsidP="009E48BE">
      <w:pPr>
        <w:shd w:val="clear" w:color="auto" w:fill="FFFFFF"/>
        <w:spacing w:after="0" w:line="240" w:lineRule="auto"/>
        <w:rPr>
          <w:rFonts w:eastAsia="Times New Roman" w:cstheme="minorHAnsi"/>
          <w:sz w:val="24"/>
          <w:szCs w:val="24"/>
        </w:rPr>
      </w:pPr>
      <w:r w:rsidRPr="00735BDD">
        <w:rPr>
          <w:rFonts w:eastAsia="Times New Roman" w:cstheme="minorHAnsi"/>
          <w:i/>
          <w:iCs/>
          <w:sz w:val="24"/>
          <w:szCs w:val="24"/>
        </w:rPr>
        <w:t>Provost-level scholarly research reassign times unrelated to grant buyouts</w:t>
      </w:r>
      <w:r>
        <w:rPr>
          <w:rFonts w:eastAsia="Times New Roman" w:cstheme="minorHAnsi"/>
          <w:sz w:val="24"/>
          <w:szCs w:val="24"/>
        </w:rPr>
        <w:t xml:space="preserve">:  The Provost’s Office has used an extensive system of </w:t>
      </w:r>
      <w:r w:rsidRPr="00735BDD">
        <w:rPr>
          <w:rFonts w:eastAsia="Times New Roman" w:cstheme="minorHAnsi"/>
          <w:sz w:val="24"/>
          <w:szCs w:val="24"/>
          <w:u w:val="single"/>
        </w:rPr>
        <w:t>mini-grants</w:t>
      </w:r>
      <w:r>
        <w:rPr>
          <w:rFonts w:eastAsia="Times New Roman" w:cstheme="minorHAnsi"/>
          <w:sz w:val="24"/>
          <w:szCs w:val="24"/>
        </w:rPr>
        <w:t xml:space="preserve"> for both teaching and research for many years quite successfully. The Provost’s Office also supports mini-grants to encourage student-focused research, as well as junior faculty automatic reassign time their first years of employment. These programs are reported to have been curtailed due to financial constraints. However, several </w:t>
      </w:r>
      <w:r w:rsidRPr="00735BDD">
        <w:rPr>
          <w:rFonts w:eastAsia="Times New Roman" w:cstheme="minorHAnsi"/>
          <w:sz w:val="24"/>
          <w:szCs w:val="24"/>
          <w:u w:val="single"/>
        </w:rPr>
        <w:t>rounds of Provost-level reassign time</w:t>
      </w:r>
      <w:r>
        <w:rPr>
          <w:rFonts w:eastAsia="Times New Roman" w:cstheme="minorHAnsi"/>
          <w:sz w:val="24"/>
          <w:szCs w:val="24"/>
        </w:rPr>
        <w:t xml:space="preserve"> allocations have been </w:t>
      </w:r>
      <w:r>
        <w:rPr>
          <w:rFonts w:eastAsia="Times New Roman" w:cstheme="minorHAnsi"/>
          <w:sz w:val="24"/>
          <w:szCs w:val="24"/>
        </w:rPr>
        <w:lastRenderedPageBreak/>
        <w:t xml:space="preserve">made available in the last several years. The latest round provided approximately 35 faculty (approximately 8% of the tenure track faculty) a research reassign time.         </w:t>
      </w:r>
    </w:p>
    <w:p w14:paraId="4BEA5B37" w14:textId="77777777" w:rsidR="00CF3F5E" w:rsidRDefault="00CF3F5E" w:rsidP="009E48BE">
      <w:pPr>
        <w:shd w:val="clear" w:color="auto" w:fill="FFFFFF"/>
        <w:spacing w:after="0" w:line="240" w:lineRule="auto"/>
        <w:rPr>
          <w:rFonts w:eastAsia="Times New Roman" w:cstheme="minorHAnsi"/>
          <w:sz w:val="24"/>
          <w:szCs w:val="24"/>
        </w:rPr>
      </w:pPr>
    </w:p>
    <w:p w14:paraId="78BA234B" w14:textId="77777777" w:rsidR="00CF3F5E" w:rsidRDefault="00CF3F5E" w:rsidP="009E48BE">
      <w:pPr>
        <w:shd w:val="clear" w:color="auto" w:fill="FFFFFF"/>
        <w:spacing w:after="0" w:line="240" w:lineRule="auto"/>
        <w:rPr>
          <w:rFonts w:eastAsia="Times New Roman" w:cstheme="minorHAnsi"/>
          <w:sz w:val="24"/>
          <w:szCs w:val="24"/>
        </w:rPr>
      </w:pPr>
      <w:r w:rsidRPr="00735BDD">
        <w:rPr>
          <w:rFonts w:eastAsia="Times New Roman" w:cstheme="minorHAnsi"/>
          <w:i/>
          <w:iCs/>
          <w:sz w:val="24"/>
          <w:szCs w:val="24"/>
        </w:rPr>
        <w:t>College-level scholarly research reassign times</w:t>
      </w:r>
      <w:r>
        <w:rPr>
          <w:rFonts w:eastAsia="Times New Roman" w:cstheme="minorHAnsi"/>
          <w:sz w:val="24"/>
          <w:szCs w:val="24"/>
        </w:rPr>
        <w:t xml:space="preserve">:  It is perceived by many faculty (in a survey reported on below) that </w:t>
      </w:r>
      <w:r w:rsidRPr="00735BDD">
        <w:rPr>
          <w:rFonts w:eastAsia="Times New Roman" w:cstheme="minorHAnsi"/>
          <w:sz w:val="24"/>
          <w:szCs w:val="24"/>
          <w:u w:val="single"/>
        </w:rPr>
        <w:t>college-level scholarly research reassign times</w:t>
      </w:r>
      <w:r>
        <w:rPr>
          <w:rFonts w:eastAsia="Times New Roman" w:cstheme="minorHAnsi"/>
          <w:sz w:val="24"/>
          <w:szCs w:val="24"/>
        </w:rPr>
        <w:t xml:space="preserve"> were relatively commonly dispensed in some colleges to highly productive departments and/or individuals prior to the Q2S conversion and COVID. The constraints introduced by these and other issues resulted in a tightening of non-administrative reassign times due to budget constraints (informally reported). Because of stringent accreditation requirements for scholarly productivity under AACSB, the Business and Public Administration College has a routinized reassign policy for basic and high-impact journals based on scholarly productivity. The College of Natural Sciences routinely provides matching reassign times for grants that cover over 1/8</w:t>
      </w:r>
      <w:r w:rsidRPr="005902F8">
        <w:rPr>
          <w:rFonts w:eastAsia="Times New Roman" w:cstheme="minorHAnsi"/>
          <w:sz w:val="24"/>
          <w:szCs w:val="24"/>
          <w:vertAlign w:val="superscript"/>
        </w:rPr>
        <w:t>th</w:t>
      </w:r>
      <w:r>
        <w:rPr>
          <w:rFonts w:eastAsia="Times New Roman" w:cstheme="minorHAnsi"/>
          <w:sz w:val="24"/>
          <w:szCs w:val="24"/>
        </w:rPr>
        <w:t xml:space="preserve"> of a PI’s salary in a grant-fund buyout. Other colleges probably have similar arrangements for matching reassign time in excess of what is provided in the grant itself. Deans oversee the distribution of annualized professional development funds which can be used for research travel, equipment, and other miscellaneous types of research support. </w:t>
      </w:r>
    </w:p>
    <w:p w14:paraId="17E8FE0B" w14:textId="77777777" w:rsidR="00CF3F5E" w:rsidRDefault="00CF3F5E" w:rsidP="009E48BE">
      <w:pPr>
        <w:shd w:val="clear" w:color="auto" w:fill="FFFFFF"/>
        <w:spacing w:after="0" w:line="240" w:lineRule="auto"/>
        <w:rPr>
          <w:rFonts w:eastAsia="Times New Roman" w:cstheme="minorHAnsi"/>
          <w:sz w:val="24"/>
          <w:szCs w:val="24"/>
        </w:rPr>
      </w:pPr>
    </w:p>
    <w:p w14:paraId="6066A0F8" w14:textId="77777777" w:rsidR="00CF3F5E" w:rsidRDefault="00CF3F5E" w:rsidP="00834C5D">
      <w:pPr>
        <w:shd w:val="clear" w:color="auto" w:fill="FFFFFF"/>
        <w:spacing w:after="0" w:line="240" w:lineRule="auto"/>
        <w:rPr>
          <w:rFonts w:eastAsia="Times New Roman" w:cstheme="minorHAnsi"/>
          <w:sz w:val="24"/>
          <w:szCs w:val="24"/>
        </w:rPr>
      </w:pPr>
      <w:r w:rsidRPr="00834C5D">
        <w:rPr>
          <w:rFonts w:eastAsia="Times New Roman" w:cstheme="minorHAnsi"/>
          <w:i/>
          <w:iCs/>
          <w:sz w:val="24"/>
          <w:szCs w:val="24"/>
        </w:rPr>
        <w:t>Faculty Research Fellow</w:t>
      </w:r>
      <w:r>
        <w:rPr>
          <w:rFonts w:eastAsia="Times New Roman" w:cstheme="minorHAnsi"/>
          <w:sz w:val="24"/>
          <w:szCs w:val="24"/>
        </w:rPr>
        <w:t xml:space="preserve">:   A new research support resource was created in fall of 2020 to provide individualized support for faculty (lecturers through full professors). The Faculty Research Fellow works out of the Office of Faculty Development and participates in the annual faculty certificate program (a seminar series with numerous professional development options) with stipends that include the Teaching Resource Center, DEI seminars, some RPT mentoring workshops, and others. Faculty can participate in individual seminars of interest, or seek a certificate with the stipend. The program is very inclusive (lecturers participate in significant numbers), allows for various levels of participation, gives many faculty the opportunity to present to their colleagues in areas in which they are expert, and creates a strong sense of community across colleges. The range of services provided by the Faculty Research Fellow over the first three years of the program with examples of service provide (projecting through the spring) are below: </w:t>
      </w:r>
    </w:p>
    <w:p w14:paraId="5C3A340A" w14:textId="77777777" w:rsidR="00CF3F5E" w:rsidRPr="00834C5D" w:rsidRDefault="00CF3F5E" w:rsidP="00CF3F5E">
      <w:pPr>
        <w:pStyle w:val="ListParagraph"/>
        <w:numPr>
          <w:ilvl w:val="0"/>
          <w:numId w:val="30"/>
        </w:numPr>
        <w:shd w:val="clear" w:color="auto" w:fill="FFFFFF"/>
        <w:spacing w:after="0" w:line="240" w:lineRule="auto"/>
        <w:rPr>
          <w:rFonts w:ascii="Calibri" w:hAnsi="Calibri" w:cs="Calibri"/>
          <w:bCs/>
          <w:color w:val="000000"/>
          <w:sz w:val="24"/>
          <w:szCs w:val="24"/>
          <w:shd w:val="clear" w:color="auto" w:fill="FFFFFF"/>
        </w:rPr>
      </w:pPr>
      <w:r w:rsidRPr="00834C5D">
        <w:rPr>
          <w:rFonts w:ascii="Calibri" w:hAnsi="Calibri" w:cs="Calibri"/>
          <w:bCs/>
          <w:color w:val="000000"/>
          <w:sz w:val="24"/>
          <w:szCs w:val="24"/>
          <w:shd w:val="clear" w:color="auto" w:fill="FFFFFF"/>
        </w:rPr>
        <w:t>Seminars for faculty focusing on research</w:t>
      </w:r>
      <w:r>
        <w:rPr>
          <w:rFonts w:ascii="Calibri" w:hAnsi="Calibri" w:cs="Calibri"/>
          <w:bCs/>
          <w:color w:val="000000"/>
          <w:sz w:val="24"/>
          <w:szCs w:val="24"/>
          <w:shd w:val="clear" w:color="auto" w:fill="FFFFFF"/>
        </w:rPr>
        <w:t xml:space="preserve"> (e.g., 64 seminars with 1,413 bodies in seats)</w:t>
      </w:r>
    </w:p>
    <w:p w14:paraId="3FEB5DB1" w14:textId="77777777" w:rsidR="00CF3F5E" w:rsidRPr="00834C5D" w:rsidRDefault="00CF3F5E" w:rsidP="00CF3F5E">
      <w:pPr>
        <w:pStyle w:val="ListParagraph"/>
        <w:numPr>
          <w:ilvl w:val="0"/>
          <w:numId w:val="29"/>
        </w:numPr>
        <w:rPr>
          <w:rFonts w:ascii="Calibri" w:hAnsi="Calibri" w:cs="Calibri"/>
          <w:bCs/>
          <w:color w:val="000000"/>
          <w:sz w:val="24"/>
          <w:szCs w:val="24"/>
          <w:shd w:val="clear" w:color="auto" w:fill="FFFFFF"/>
        </w:rPr>
      </w:pPr>
      <w:r w:rsidRPr="00834C5D">
        <w:rPr>
          <w:rFonts w:ascii="Calibri" w:hAnsi="Calibri" w:cs="Calibri"/>
          <w:bCs/>
          <w:color w:val="000000"/>
          <w:sz w:val="24"/>
          <w:szCs w:val="24"/>
          <w:shd w:val="clear" w:color="auto" w:fill="FFFFFF"/>
        </w:rPr>
        <w:t>Copyediting and manuscript critique</w:t>
      </w:r>
      <w:r>
        <w:rPr>
          <w:rFonts w:ascii="Calibri" w:hAnsi="Calibri" w:cs="Calibri"/>
          <w:bCs/>
          <w:color w:val="000000"/>
          <w:sz w:val="24"/>
          <w:szCs w:val="24"/>
          <w:shd w:val="clear" w:color="auto" w:fill="FFFFFF"/>
        </w:rPr>
        <w:t xml:space="preserve"> (e.g., 171 manuscript reviews; many reviewed multiple times)</w:t>
      </w:r>
    </w:p>
    <w:p w14:paraId="43762505" w14:textId="77777777" w:rsidR="00CF3F5E" w:rsidRPr="00834C5D" w:rsidRDefault="00CF3F5E" w:rsidP="00CF3F5E">
      <w:pPr>
        <w:pStyle w:val="ListParagraph"/>
        <w:numPr>
          <w:ilvl w:val="0"/>
          <w:numId w:val="29"/>
        </w:numPr>
        <w:rPr>
          <w:rFonts w:ascii="Calibri" w:hAnsi="Calibri" w:cs="Calibri"/>
          <w:bCs/>
          <w:color w:val="000000"/>
          <w:sz w:val="24"/>
          <w:szCs w:val="24"/>
          <w:shd w:val="clear" w:color="auto" w:fill="FFFFFF"/>
        </w:rPr>
      </w:pPr>
      <w:r w:rsidRPr="00834C5D">
        <w:rPr>
          <w:rFonts w:ascii="Calibri" w:hAnsi="Calibri" w:cs="Calibri"/>
          <w:bCs/>
          <w:color w:val="000000"/>
          <w:sz w:val="24"/>
          <w:szCs w:val="24"/>
          <w:shd w:val="clear" w:color="auto" w:fill="FFFFFF"/>
        </w:rPr>
        <w:t>Individual consultations, problem solving, and journal selection</w:t>
      </w:r>
      <w:r>
        <w:rPr>
          <w:rFonts w:ascii="Calibri" w:hAnsi="Calibri" w:cs="Calibri"/>
          <w:bCs/>
          <w:color w:val="000000"/>
          <w:sz w:val="24"/>
          <w:szCs w:val="24"/>
          <w:shd w:val="clear" w:color="auto" w:fill="FFFFFF"/>
        </w:rPr>
        <w:t xml:space="preserve"> (approximately 234 inclusive of multiple consultations with some faculty) </w:t>
      </w:r>
    </w:p>
    <w:p w14:paraId="267702DD" w14:textId="77777777" w:rsidR="00CF3F5E" w:rsidRPr="00834C5D" w:rsidRDefault="00CF3F5E" w:rsidP="00CF3F5E">
      <w:pPr>
        <w:pStyle w:val="ListParagraph"/>
        <w:numPr>
          <w:ilvl w:val="0"/>
          <w:numId w:val="29"/>
        </w:numPr>
        <w:rPr>
          <w:rFonts w:ascii="Calibri" w:hAnsi="Calibri" w:cs="Calibri"/>
          <w:bCs/>
          <w:color w:val="000000"/>
          <w:sz w:val="24"/>
          <w:szCs w:val="24"/>
          <w:shd w:val="clear" w:color="auto" w:fill="FFFFFF"/>
        </w:rPr>
      </w:pPr>
      <w:r w:rsidRPr="00834C5D">
        <w:rPr>
          <w:rFonts w:ascii="Calibri" w:hAnsi="Calibri" w:cs="Calibri"/>
          <w:bCs/>
          <w:color w:val="000000"/>
          <w:sz w:val="24"/>
          <w:szCs w:val="24"/>
          <w:shd w:val="clear" w:color="auto" w:fill="FFFFFF"/>
        </w:rPr>
        <w:t>Direct collaboration on research or funded activities</w:t>
      </w:r>
      <w:r>
        <w:rPr>
          <w:rFonts w:ascii="Calibri" w:hAnsi="Calibri" w:cs="Calibri"/>
          <w:bCs/>
          <w:color w:val="000000"/>
          <w:sz w:val="24"/>
          <w:szCs w:val="24"/>
          <w:shd w:val="clear" w:color="auto" w:fill="FFFFFF"/>
        </w:rPr>
        <w:t xml:space="preserve"> (e.g., 15 jointly-authored publications with CSUSB faculty) </w:t>
      </w:r>
    </w:p>
    <w:p w14:paraId="3EB5AE27" w14:textId="77777777" w:rsidR="00CF3F5E" w:rsidRDefault="00CF3F5E" w:rsidP="00CF3F5E">
      <w:pPr>
        <w:pStyle w:val="ListParagraph"/>
        <w:numPr>
          <w:ilvl w:val="0"/>
          <w:numId w:val="29"/>
        </w:numPr>
        <w:rPr>
          <w:rFonts w:ascii="Calibri" w:hAnsi="Calibri" w:cs="Calibri"/>
          <w:bCs/>
          <w:color w:val="000000"/>
          <w:sz w:val="24"/>
          <w:szCs w:val="24"/>
          <w:shd w:val="clear" w:color="auto" w:fill="FFFFFF"/>
        </w:rPr>
      </w:pPr>
      <w:r w:rsidRPr="00834C5D">
        <w:rPr>
          <w:rFonts w:ascii="Calibri" w:hAnsi="Calibri" w:cs="Calibri"/>
          <w:bCs/>
          <w:color w:val="000000"/>
          <w:sz w:val="24"/>
          <w:szCs w:val="24"/>
          <w:shd w:val="clear" w:color="auto" w:fill="FFFFFF"/>
        </w:rPr>
        <w:t>Enhancing research visibility</w:t>
      </w:r>
      <w:r>
        <w:rPr>
          <w:rFonts w:ascii="Calibri" w:hAnsi="Calibri" w:cs="Calibri"/>
          <w:bCs/>
          <w:color w:val="000000"/>
          <w:sz w:val="24"/>
          <w:szCs w:val="24"/>
          <w:shd w:val="clear" w:color="auto" w:fill="FFFFFF"/>
        </w:rPr>
        <w:t xml:space="preserve"> (via Inside CSUSB and FRF newsletters)</w:t>
      </w:r>
    </w:p>
    <w:p w14:paraId="5AE6EE26" w14:textId="77777777" w:rsidR="00CF3F5E" w:rsidRDefault="00CF3F5E" w:rsidP="008B0E77">
      <w:pPr>
        <w:spacing w:after="0" w:line="240" w:lineRule="auto"/>
        <w:rPr>
          <w:rFonts w:eastAsia="Times New Roman" w:cstheme="minorHAnsi"/>
          <w:sz w:val="24"/>
          <w:szCs w:val="24"/>
        </w:rPr>
      </w:pPr>
    </w:p>
    <w:p w14:paraId="684B1BCB" w14:textId="77777777" w:rsidR="00CF3F5E" w:rsidRDefault="00CF3F5E" w:rsidP="001B7FED">
      <w:pPr>
        <w:shd w:val="clear" w:color="auto" w:fill="FFFFFF"/>
        <w:spacing w:after="0" w:line="240" w:lineRule="auto"/>
        <w:rPr>
          <w:rFonts w:eastAsia="Times New Roman" w:cstheme="minorHAnsi"/>
          <w:b/>
          <w:bCs/>
          <w:sz w:val="24"/>
          <w:szCs w:val="24"/>
          <w:u w:val="single"/>
        </w:rPr>
      </w:pPr>
      <w:r w:rsidRPr="001B7FED">
        <w:rPr>
          <w:rFonts w:eastAsia="Times New Roman" w:cstheme="minorHAnsi"/>
          <w:b/>
          <w:bCs/>
          <w:sz w:val="24"/>
          <w:szCs w:val="24"/>
          <w:u w:val="single"/>
        </w:rPr>
        <w:t>Distinguishing Public Higher Education Institutions</w:t>
      </w:r>
    </w:p>
    <w:p w14:paraId="24761B7B" w14:textId="77777777" w:rsidR="00CF3F5E" w:rsidRPr="001B7FED" w:rsidRDefault="00CF3F5E" w:rsidP="001B7FED">
      <w:pPr>
        <w:shd w:val="clear" w:color="auto" w:fill="FFFFFF"/>
        <w:spacing w:after="0" w:line="240" w:lineRule="auto"/>
        <w:rPr>
          <w:rFonts w:eastAsia="Times New Roman" w:cstheme="minorHAnsi"/>
          <w:b/>
          <w:bCs/>
          <w:sz w:val="24"/>
          <w:szCs w:val="24"/>
          <w:u w:val="single"/>
        </w:rPr>
      </w:pPr>
    </w:p>
    <w:p w14:paraId="62090444" w14:textId="77777777" w:rsidR="00CF3F5E" w:rsidRDefault="00CF3F5E" w:rsidP="001B7FED">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This report focuses on expectations and institutional types, so a review of institutional (idealized) types is provided. Four major types are reviewed, each with a constellation of integrated factors related to mission (e.g., teaching, research emphasis), student preparation, tuition, programmatic focus, default teaching load, type of research preferred, types and amounts of external funding, and distribution of faculty compensation. </w:t>
      </w:r>
    </w:p>
    <w:p w14:paraId="0EF58297" w14:textId="77777777" w:rsidR="00CF3F5E" w:rsidRDefault="00CF3F5E" w:rsidP="001B7FED">
      <w:pPr>
        <w:shd w:val="clear" w:color="auto" w:fill="FFFFFF"/>
        <w:spacing w:after="0" w:line="240" w:lineRule="auto"/>
        <w:rPr>
          <w:rFonts w:eastAsia="Times New Roman" w:cstheme="minorHAnsi"/>
          <w:sz w:val="24"/>
          <w:szCs w:val="24"/>
        </w:rPr>
      </w:pPr>
    </w:p>
    <w:p w14:paraId="7B9FA52E" w14:textId="77777777" w:rsidR="00CF3F5E" w:rsidRPr="00DC738C" w:rsidRDefault="00CF3F5E" w:rsidP="001B7FED">
      <w:pPr>
        <w:shd w:val="clear" w:color="auto" w:fill="FFFFFF"/>
        <w:spacing w:after="0" w:line="240" w:lineRule="auto"/>
        <w:rPr>
          <w:rFonts w:eastAsia="Times New Roman" w:cstheme="minorHAnsi"/>
          <w:b/>
          <w:bCs/>
          <w:sz w:val="24"/>
          <w:szCs w:val="24"/>
        </w:rPr>
      </w:pPr>
      <w:r w:rsidRPr="00DC738C">
        <w:rPr>
          <w:rFonts w:eastAsia="Times New Roman" w:cstheme="minorHAnsi"/>
          <w:b/>
          <w:bCs/>
          <w:sz w:val="24"/>
          <w:szCs w:val="24"/>
        </w:rPr>
        <w:t>Preliminary comments</w:t>
      </w:r>
    </w:p>
    <w:p w14:paraId="3690DD1B" w14:textId="77777777" w:rsidR="00CF3F5E" w:rsidRDefault="00CF3F5E" w:rsidP="00CF3F5E">
      <w:pPr>
        <w:pStyle w:val="ListParagraph"/>
        <w:numPr>
          <w:ilvl w:val="0"/>
          <w:numId w:val="31"/>
        </w:numPr>
        <w:shd w:val="clear" w:color="auto" w:fill="FFFFFF"/>
        <w:spacing w:after="0" w:line="240" w:lineRule="auto"/>
        <w:rPr>
          <w:rFonts w:eastAsia="Times New Roman" w:cstheme="minorHAnsi"/>
          <w:sz w:val="24"/>
          <w:szCs w:val="24"/>
        </w:rPr>
      </w:pPr>
      <w:r>
        <w:rPr>
          <w:rFonts w:eastAsia="Times New Roman" w:cstheme="minorHAnsi"/>
          <w:sz w:val="24"/>
          <w:szCs w:val="24"/>
        </w:rPr>
        <w:t>Public institutions of higher education have equally valid and important societal missions. The mission of a community college is as important as the mission of a flagship public R1. Missions are not a hierarchy; they are on a spectrum.</w:t>
      </w:r>
    </w:p>
    <w:p w14:paraId="6E7F3756" w14:textId="77777777" w:rsidR="00CF3F5E" w:rsidRDefault="00CF3F5E" w:rsidP="00CF3F5E">
      <w:pPr>
        <w:pStyle w:val="ListParagraph"/>
        <w:numPr>
          <w:ilvl w:val="0"/>
          <w:numId w:val="31"/>
        </w:num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Public higher education institutions do not need to be a “pure” type, but they need to be very careful in planning and explaining how and why they are mixing institutional types because of possible mismatches in resources, expertise, expectations, depletion of resources to the primary mission, etc. For example, a </w:t>
      </w:r>
      <w:r>
        <w:rPr>
          <w:rFonts w:eastAsia="Times New Roman" w:cstheme="minorHAnsi"/>
          <w:sz w:val="24"/>
          <w:szCs w:val="24"/>
        </w:rPr>
        <w:lastRenderedPageBreak/>
        <w:t xml:space="preserve">low-intensity research university funded as primarily undergraduate that ventures into doctoral programs may end up with very weak doctoral programs, stripping resources and attention from undergraduate and master’s students, and causing confusion and resentment among faculty. </w:t>
      </w:r>
    </w:p>
    <w:p w14:paraId="217AD8FA" w14:textId="77777777" w:rsidR="00CF3F5E" w:rsidRDefault="00CF3F5E" w:rsidP="00CF3F5E">
      <w:pPr>
        <w:pStyle w:val="ListParagraph"/>
        <w:numPr>
          <w:ilvl w:val="0"/>
          <w:numId w:val="31"/>
        </w:num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Institutions can be evaluated at how well they accomplish their mission. Some institutions do a better job at assisting the most vulnerable populations and social mobility, others may be better at supporting their local communities, while still others may be better at procuring grant dollars or research productivity. </w:t>
      </w:r>
    </w:p>
    <w:p w14:paraId="00E2B6AE" w14:textId="77777777" w:rsidR="00CF3F5E" w:rsidRDefault="00CF3F5E" w:rsidP="00CF3F5E">
      <w:pPr>
        <w:pStyle w:val="ListParagraph"/>
        <w:numPr>
          <w:ilvl w:val="0"/>
          <w:numId w:val="31"/>
        </w:num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Administrators, faculty, and the community will tend to see the institution as blind men feeling a particular part of the elephant. Listening to the array of opinions is informative but not sufficient to describe the elephant. Integration of ideas, and careful implementation are key to short and long-term success in diversifying mission. Otherwise, mission creep and mission confusion are the likely outcomes of poor planning. </w:t>
      </w:r>
    </w:p>
    <w:p w14:paraId="1486EC1C" w14:textId="77777777" w:rsidR="00CF3F5E" w:rsidRPr="00497E50" w:rsidRDefault="00CF3F5E" w:rsidP="00CF3F5E">
      <w:pPr>
        <w:pStyle w:val="ListParagraph"/>
        <w:numPr>
          <w:ilvl w:val="0"/>
          <w:numId w:val="31"/>
        </w:num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Some degree of shared nomenclature and concepts is key to having discussions that can provide meaningful understanding of different perspectives. </w:t>
      </w:r>
    </w:p>
    <w:p w14:paraId="171C98CF" w14:textId="77777777" w:rsidR="00CF3F5E" w:rsidRDefault="00CF3F5E" w:rsidP="001B7FED">
      <w:pPr>
        <w:shd w:val="clear" w:color="auto" w:fill="FFFFFF"/>
        <w:spacing w:after="0" w:line="240" w:lineRule="auto"/>
        <w:rPr>
          <w:rFonts w:eastAsia="Times New Roman" w:cstheme="minorHAnsi"/>
          <w:sz w:val="24"/>
          <w:szCs w:val="24"/>
        </w:rPr>
      </w:pPr>
    </w:p>
    <w:p w14:paraId="3F1F09BD" w14:textId="77777777" w:rsidR="00CF3F5E" w:rsidRDefault="00CF3F5E" w:rsidP="001B7FED">
      <w:pPr>
        <w:shd w:val="clear" w:color="auto" w:fill="FFFFFF"/>
        <w:spacing w:after="0" w:line="240" w:lineRule="auto"/>
        <w:rPr>
          <w:rFonts w:eastAsia="Times New Roman" w:cstheme="minorHAnsi"/>
          <w:b/>
          <w:bCs/>
          <w:sz w:val="24"/>
          <w:szCs w:val="24"/>
        </w:rPr>
      </w:pPr>
      <w:r w:rsidRPr="00DC738C">
        <w:rPr>
          <w:rFonts w:eastAsia="Times New Roman" w:cstheme="minorHAnsi"/>
          <w:b/>
          <w:bCs/>
          <w:sz w:val="24"/>
          <w:szCs w:val="24"/>
        </w:rPr>
        <w:t>Four types of public higher education institutions</w:t>
      </w:r>
    </w:p>
    <w:p w14:paraId="24C57343" w14:textId="77777777" w:rsidR="00CF3F5E" w:rsidRDefault="00CF3F5E" w:rsidP="001B7FED">
      <w:pPr>
        <w:shd w:val="clear" w:color="auto" w:fill="FFFFFF"/>
        <w:spacing w:after="0" w:line="240" w:lineRule="auto"/>
        <w:rPr>
          <w:rFonts w:eastAsia="Times New Roman" w:cstheme="minorHAnsi"/>
          <w:sz w:val="24"/>
          <w:szCs w:val="24"/>
        </w:rPr>
      </w:pPr>
    </w:p>
    <w:p w14:paraId="45E39A2C" w14:textId="77777777" w:rsidR="00CF3F5E" w:rsidRDefault="00CF3F5E" w:rsidP="001B7FED">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In this report we distinguish among community colleges, primarily undergraduate institutions, moderately-intensive research institutions, and intensive research institutions. They are described here as Weberian “ideal” types. </w:t>
      </w:r>
    </w:p>
    <w:p w14:paraId="479E52BD" w14:textId="77777777" w:rsidR="00CF3F5E" w:rsidRDefault="00CF3F5E" w:rsidP="001B7FED">
      <w:pPr>
        <w:shd w:val="clear" w:color="auto" w:fill="FFFFFF"/>
        <w:spacing w:after="0" w:line="240" w:lineRule="auto"/>
        <w:rPr>
          <w:rFonts w:eastAsia="Times New Roman" w:cstheme="minorHAnsi"/>
          <w:sz w:val="24"/>
          <w:szCs w:val="24"/>
        </w:rPr>
      </w:pPr>
    </w:p>
    <w:p w14:paraId="1FD904D0" w14:textId="77777777" w:rsidR="00CF3F5E" w:rsidRDefault="00CF3F5E" w:rsidP="001B7FED">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Community colleges focus exclusively on teaching (and service), very high acceptance rates, very low tuition, and small classes throughout the curriculum. They also only provide limited programming (lower division) for focus and quality, high regular-faculty/student contact, very high teaching/service workloads, absence of focus on research and external funding except for teaching grants, and relatively flat teaching compensation among faculty and fewer ranks. </w:t>
      </w:r>
    </w:p>
    <w:p w14:paraId="639A6578" w14:textId="77777777" w:rsidR="00CF3F5E" w:rsidRDefault="00CF3F5E" w:rsidP="001B7FED">
      <w:pPr>
        <w:shd w:val="clear" w:color="auto" w:fill="FFFFFF"/>
        <w:spacing w:after="0" w:line="240" w:lineRule="auto"/>
        <w:rPr>
          <w:rFonts w:eastAsia="Times New Roman" w:cstheme="minorHAnsi"/>
          <w:sz w:val="24"/>
          <w:szCs w:val="24"/>
        </w:rPr>
      </w:pPr>
    </w:p>
    <w:p w14:paraId="3533987E" w14:textId="77777777" w:rsidR="00CF3F5E" w:rsidRDefault="00CF3F5E" w:rsidP="001B7FED">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Primarily undergraduate institutions (aka, low-intensity research institutions) focus primarily on teaching and service, high acceptance rates, low tuition, and primarily a small class approach with some large classes selectively. They focus on undergraduates but often have applied/profession masters programs, some but few teaching assistants, modest research expectations, modest external funding primarily for service and teaching functions, and only traditional ranks with little salary dispersion within ranks (at least by discipline).  See table D in appendix for additional detail. </w:t>
      </w:r>
    </w:p>
    <w:p w14:paraId="176DE2D5" w14:textId="77777777" w:rsidR="00CF3F5E" w:rsidRDefault="00CF3F5E" w:rsidP="001B7FED">
      <w:pPr>
        <w:shd w:val="clear" w:color="auto" w:fill="FFFFFF"/>
        <w:spacing w:after="0" w:line="240" w:lineRule="auto"/>
        <w:rPr>
          <w:rFonts w:eastAsia="Times New Roman" w:cstheme="minorHAnsi"/>
          <w:sz w:val="24"/>
          <w:szCs w:val="24"/>
        </w:rPr>
      </w:pPr>
    </w:p>
    <w:p w14:paraId="6DA3BCAC" w14:textId="77777777" w:rsidR="00CF3F5E" w:rsidRDefault="00CF3F5E" w:rsidP="001B7FED">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Moderately-intensive public research institutions can have extensive overlap with Carnegie-categorized R2 institutions. R2 institutions must meet only moderate external grant funding levels and very low PhD production levels (which is a proxy for scholarly focus). It is possible for the ideal moderately-intensive public institution to vary extensively with an R2 designation. The “ideal” moderately-intensive research institution splits its focus between research and teaching, has moderate acceptance rates, moderate tuition, and frequently uses largess at the lower division. They also focus as much on graduate programs (including doctoral) as undergraduate programs, use teaching assistants frequently, support both applied and theoretical research, seek applied and basic search funding, and use some super ranks and a greater salary differentiation in faculty salaries by department. </w:t>
      </w:r>
    </w:p>
    <w:p w14:paraId="3D8A14A3" w14:textId="77777777" w:rsidR="00CF3F5E" w:rsidRDefault="00CF3F5E" w:rsidP="001B7FED">
      <w:pPr>
        <w:shd w:val="clear" w:color="auto" w:fill="FFFFFF"/>
        <w:spacing w:after="0" w:line="240" w:lineRule="auto"/>
        <w:rPr>
          <w:rFonts w:eastAsia="Times New Roman" w:cstheme="minorHAnsi"/>
          <w:sz w:val="24"/>
          <w:szCs w:val="24"/>
        </w:rPr>
      </w:pPr>
    </w:p>
    <w:p w14:paraId="75467852" w14:textId="77777777" w:rsidR="00CF3F5E" w:rsidRDefault="00CF3F5E" w:rsidP="005531C8">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Intensive research institutions that are public overlap with the R1 Carnegie classification, but as with R2 and moderately intensive institutions, they are not coterminous. Intensive research institutions focus on research, have lower acceptance rates, high tuition, and limit small classes at the lower division and use more doctoral and master’s students as lecturers at that level. They also frequently deemphasize undergraduate teaching (relying on a higher quality of academically prepared students), limit regular faculty contact with lower </w:t>
      </w:r>
      <w:r>
        <w:rPr>
          <w:rFonts w:eastAsia="Times New Roman" w:cstheme="minorHAnsi"/>
          <w:sz w:val="24"/>
          <w:szCs w:val="24"/>
        </w:rPr>
        <w:lastRenderedPageBreak/>
        <w:t xml:space="preserve">division students, focus on prestige journals and publishers, rely on large amounts of external funding in many disciplines, and restrict promotion, provide super ranks, and allow highly differential pay levels. </w:t>
      </w:r>
    </w:p>
    <w:p w14:paraId="2B82CA17" w14:textId="77777777" w:rsidR="00CF3F5E" w:rsidRDefault="00CF3F5E" w:rsidP="005531C8">
      <w:pPr>
        <w:spacing w:after="0" w:line="240" w:lineRule="auto"/>
        <w:rPr>
          <w:rFonts w:ascii="Calibri" w:hAnsi="Calibri" w:cs="Calibri"/>
          <w:bCs/>
          <w:color w:val="000000"/>
          <w:sz w:val="24"/>
          <w:szCs w:val="24"/>
          <w:shd w:val="clear" w:color="auto" w:fill="FFFFFF"/>
        </w:rPr>
      </w:pPr>
    </w:p>
    <w:p w14:paraId="538FA833" w14:textId="77777777" w:rsidR="00CF3F5E" w:rsidRDefault="00CF3F5E" w:rsidP="005531C8">
      <w:pPr>
        <w:spacing w:after="0" w:line="240" w:lineRule="auto"/>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The change in reclassification to Carnegie R2 raises a number of distinct questions that must be answered before a coherent plan can be executed that will have wide acceptance within the faculty.  Those questions are:</w:t>
      </w:r>
    </w:p>
    <w:p w14:paraId="4934902F" w14:textId="77777777" w:rsidR="00CF3F5E" w:rsidRDefault="00CF3F5E" w:rsidP="00CF3F5E">
      <w:pPr>
        <w:pStyle w:val="ListParagraph"/>
        <w:numPr>
          <w:ilvl w:val="0"/>
          <w:numId w:val="32"/>
        </w:numPr>
        <w:spacing w:after="0" w:line="240" w:lineRule="auto"/>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 xml:space="preserve">To what degree is CSUSB </w:t>
      </w:r>
      <w:r w:rsidRPr="005531C8">
        <w:rPr>
          <w:rFonts w:ascii="Calibri" w:hAnsi="Calibri" w:cs="Calibri"/>
          <w:bCs/>
          <w:i/>
          <w:iCs/>
          <w:color w:val="000000"/>
          <w:sz w:val="24"/>
          <w:szCs w:val="24"/>
          <w:shd w:val="clear" w:color="auto" w:fill="FFFFFF"/>
        </w:rPr>
        <w:t>currently</w:t>
      </w:r>
      <w:r>
        <w:rPr>
          <w:rFonts w:ascii="Calibri" w:hAnsi="Calibri" w:cs="Calibri"/>
          <w:bCs/>
          <w:color w:val="000000"/>
          <w:sz w:val="24"/>
          <w:szCs w:val="24"/>
          <w:shd w:val="clear" w:color="auto" w:fill="FFFFFF"/>
        </w:rPr>
        <w:t xml:space="preserve"> a primarily undergraduate institution by type?</w:t>
      </w:r>
    </w:p>
    <w:p w14:paraId="008C24E2" w14:textId="77777777" w:rsidR="00CF3F5E" w:rsidRDefault="00CF3F5E" w:rsidP="00CF3F5E">
      <w:pPr>
        <w:pStyle w:val="ListParagraph"/>
        <w:numPr>
          <w:ilvl w:val="0"/>
          <w:numId w:val="32"/>
        </w:numPr>
        <w:spacing w:after="0" w:line="240" w:lineRule="auto"/>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 xml:space="preserve">To what degree is CSUSB </w:t>
      </w:r>
      <w:r w:rsidRPr="005531C8">
        <w:rPr>
          <w:rFonts w:ascii="Calibri" w:hAnsi="Calibri" w:cs="Calibri"/>
          <w:bCs/>
          <w:i/>
          <w:iCs/>
          <w:color w:val="000000"/>
          <w:sz w:val="24"/>
          <w:szCs w:val="24"/>
          <w:shd w:val="clear" w:color="auto" w:fill="FFFFFF"/>
        </w:rPr>
        <w:t>currently</w:t>
      </w:r>
      <w:r>
        <w:rPr>
          <w:rFonts w:ascii="Calibri" w:hAnsi="Calibri" w:cs="Calibri"/>
          <w:bCs/>
          <w:color w:val="000000"/>
          <w:sz w:val="24"/>
          <w:szCs w:val="24"/>
          <w:shd w:val="clear" w:color="auto" w:fill="FFFFFF"/>
        </w:rPr>
        <w:t xml:space="preserve"> a moderately-intensive research institution by type?</w:t>
      </w:r>
    </w:p>
    <w:p w14:paraId="1B6FA25C" w14:textId="77777777" w:rsidR="00CF3F5E" w:rsidRDefault="00CF3F5E" w:rsidP="00CF3F5E">
      <w:pPr>
        <w:pStyle w:val="ListParagraph"/>
        <w:numPr>
          <w:ilvl w:val="0"/>
          <w:numId w:val="32"/>
        </w:numPr>
        <w:spacing w:after="0" w:line="240" w:lineRule="auto"/>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To what degree, if at all, does CSUSB want to move toward being a more moderately-intensive research institution?</w:t>
      </w:r>
    </w:p>
    <w:p w14:paraId="24B45600" w14:textId="77777777" w:rsidR="00CF3F5E" w:rsidRDefault="00CF3F5E" w:rsidP="00CF3F5E">
      <w:pPr>
        <w:pStyle w:val="ListParagraph"/>
        <w:numPr>
          <w:ilvl w:val="0"/>
          <w:numId w:val="32"/>
        </w:numPr>
        <w:spacing w:after="0" w:line="240" w:lineRule="auto"/>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To the degree that CSUSB wants to move toward having characteristics of a moderately-intensive research institutions type, how does it plan to:</w:t>
      </w:r>
    </w:p>
    <w:p w14:paraId="35541448" w14:textId="77777777" w:rsidR="00CF3F5E" w:rsidRDefault="00CF3F5E" w:rsidP="00CF3F5E">
      <w:pPr>
        <w:pStyle w:val="ListParagraph"/>
        <w:numPr>
          <w:ilvl w:val="1"/>
          <w:numId w:val="32"/>
        </w:numPr>
        <w:spacing w:after="0" w:line="240" w:lineRule="auto"/>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Provide resources for changes (e.g., lowering the default workload)?</w:t>
      </w:r>
    </w:p>
    <w:p w14:paraId="759ADAEB" w14:textId="77777777" w:rsidR="00CF3F5E" w:rsidRDefault="00CF3F5E" w:rsidP="00CF3F5E">
      <w:pPr>
        <w:pStyle w:val="ListParagraph"/>
        <w:numPr>
          <w:ilvl w:val="1"/>
          <w:numId w:val="32"/>
        </w:numPr>
        <w:spacing w:after="0" w:line="240" w:lineRule="auto"/>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What concurrent expectations will accompany those changes, if any (e.g., higher research expectations)?</w:t>
      </w:r>
    </w:p>
    <w:p w14:paraId="50CD59E0" w14:textId="77777777" w:rsidR="00CF3F5E" w:rsidRPr="005531C8" w:rsidRDefault="00CF3F5E" w:rsidP="00CF3F5E">
      <w:pPr>
        <w:pStyle w:val="ListParagraph"/>
        <w:numPr>
          <w:ilvl w:val="1"/>
          <w:numId w:val="32"/>
        </w:numPr>
        <w:spacing w:after="0" w:line="240" w:lineRule="auto"/>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How will a relatively high level of consensus be achieved in making or not making, changes since there will be constituencies wanting and not wanting changes, and those wanting changes will want different things?</w:t>
      </w:r>
    </w:p>
    <w:p w14:paraId="70FDC934" w14:textId="77777777" w:rsidR="00CF3F5E" w:rsidRDefault="00CF3F5E" w:rsidP="00CE083F">
      <w:pPr>
        <w:shd w:val="clear" w:color="auto" w:fill="FFFFFF"/>
        <w:spacing w:after="0" w:line="240" w:lineRule="auto"/>
        <w:rPr>
          <w:rFonts w:eastAsia="Times New Roman" w:cstheme="minorHAnsi"/>
          <w:sz w:val="24"/>
          <w:szCs w:val="24"/>
        </w:rPr>
      </w:pPr>
    </w:p>
    <w:p w14:paraId="531CC022" w14:textId="77777777" w:rsidR="00CF3F5E" w:rsidRPr="00FE2E80" w:rsidRDefault="00CF3F5E" w:rsidP="00CE083F">
      <w:pPr>
        <w:shd w:val="clear" w:color="auto" w:fill="FFFFFF"/>
        <w:spacing w:after="0" w:line="240" w:lineRule="auto"/>
        <w:rPr>
          <w:rFonts w:eastAsia="Times New Roman" w:cstheme="minorHAnsi"/>
          <w:b/>
          <w:bCs/>
          <w:sz w:val="24"/>
          <w:szCs w:val="24"/>
          <w:u w:val="single"/>
        </w:rPr>
      </w:pPr>
      <w:r w:rsidRPr="00FE2E80">
        <w:rPr>
          <w:rFonts w:eastAsia="Times New Roman" w:cstheme="minorHAnsi"/>
          <w:b/>
          <w:bCs/>
          <w:sz w:val="24"/>
          <w:szCs w:val="24"/>
          <w:u w:val="single"/>
        </w:rPr>
        <w:t xml:space="preserve">Current </w:t>
      </w:r>
      <w:r>
        <w:rPr>
          <w:rFonts w:eastAsia="Times New Roman" w:cstheme="minorHAnsi"/>
          <w:b/>
          <w:bCs/>
          <w:sz w:val="24"/>
          <w:szCs w:val="24"/>
          <w:u w:val="single"/>
        </w:rPr>
        <w:t>F</w:t>
      </w:r>
      <w:r w:rsidRPr="00FE2E80">
        <w:rPr>
          <w:rFonts w:eastAsia="Times New Roman" w:cstheme="minorHAnsi"/>
          <w:b/>
          <w:bCs/>
          <w:sz w:val="24"/>
          <w:szCs w:val="24"/>
          <w:u w:val="single"/>
        </w:rPr>
        <w:t xml:space="preserve">aculty </w:t>
      </w:r>
      <w:r>
        <w:rPr>
          <w:rFonts w:eastAsia="Times New Roman" w:cstheme="minorHAnsi"/>
          <w:b/>
          <w:bCs/>
          <w:sz w:val="24"/>
          <w:szCs w:val="24"/>
          <w:u w:val="single"/>
        </w:rPr>
        <w:t>P</w:t>
      </w:r>
      <w:r w:rsidRPr="00FE2E80">
        <w:rPr>
          <w:rFonts w:eastAsia="Times New Roman" w:cstheme="minorHAnsi"/>
          <w:b/>
          <w:bCs/>
          <w:sz w:val="24"/>
          <w:szCs w:val="24"/>
          <w:u w:val="single"/>
        </w:rPr>
        <w:t xml:space="preserve">erceptions, </w:t>
      </w:r>
      <w:r>
        <w:rPr>
          <w:rFonts w:eastAsia="Times New Roman" w:cstheme="minorHAnsi"/>
          <w:b/>
          <w:bCs/>
          <w:sz w:val="24"/>
          <w:szCs w:val="24"/>
          <w:u w:val="single"/>
        </w:rPr>
        <w:t>H</w:t>
      </w:r>
      <w:r w:rsidRPr="00FE2E80">
        <w:rPr>
          <w:rFonts w:eastAsia="Times New Roman" w:cstheme="minorHAnsi"/>
          <w:b/>
          <w:bCs/>
          <w:sz w:val="24"/>
          <w:szCs w:val="24"/>
          <w:u w:val="single"/>
        </w:rPr>
        <w:t xml:space="preserve">opes, and </w:t>
      </w:r>
      <w:r>
        <w:rPr>
          <w:rFonts w:eastAsia="Times New Roman" w:cstheme="minorHAnsi"/>
          <w:b/>
          <w:bCs/>
          <w:sz w:val="24"/>
          <w:szCs w:val="24"/>
          <w:u w:val="single"/>
        </w:rPr>
        <w:t>C</w:t>
      </w:r>
      <w:r w:rsidRPr="00FE2E80">
        <w:rPr>
          <w:rFonts w:eastAsia="Times New Roman" w:cstheme="minorHAnsi"/>
          <w:b/>
          <w:bCs/>
          <w:sz w:val="24"/>
          <w:szCs w:val="24"/>
          <w:u w:val="single"/>
        </w:rPr>
        <w:t xml:space="preserve">oncerns about R2 </w:t>
      </w:r>
      <w:r>
        <w:rPr>
          <w:rFonts w:eastAsia="Times New Roman" w:cstheme="minorHAnsi"/>
          <w:b/>
          <w:bCs/>
          <w:sz w:val="24"/>
          <w:szCs w:val="24"/>
          <w:u w:val="single"/>
        </w:rPr>
        <w:t>S</w:t>
      </w:r>
      <w:r w:rsidRPr="00FE2E80">
        <w:rPr>
          <w:rFonts w:eastAsia="Times New Roman" w:cstheme="minorHAnsi"/>
          <w:b/>
          <w:bCs/>
          <w:sz w:val="24"/>
          <w:szCs w:val="24"/>
          <w:u w:val="single"/>
        </w:rPr>
        <w:t>tatus</w:t>
      </w:r>
      <w:r>
        <w:rPr>
          <w:rFonts w:eastAsia="Times New Roman" w:cstheme="minorHAnsi"/>
          <w:b/>
          <w:bCs/>
          <w:sz w:val="24"/>
          <w:szCs w:val="24"/>
          <w:u w:val="single"/>
        </w:rPr>
        <w:t>:</w:t>
      </w:r>
      <w:r w:rsidRPr="00FE2E80">
        <w:rPr>
          <w:rFonts w:eastAsia="Times New Roman" w:cstheme="minorHAnsi"/>
          <w:b/>
          <w:bCs/>
          <w:sz w:val="24"/>
          <w:szCs w:val="24"/>
          <w:u w:val="single"/>
        </w:rPr>
        <w:t xml:space="preserve"> </w:t>
      </w:r>
      <w:r>
        <w:rPr>
          <w:rFonts w:eastAsia="Times New Roman" w:cstheme="minorHAnsi"/>
          <w:b/>
          <w:bCs/>
          <w:sz w:val="24"/>
          <w:szCs w:val="24"/>
          <w:u w:val="single"/>
        </w:rPr>
        <w:t>F</w:t>
      </w:r>
      <w:r w:rsidRPr="00FE2E80">
        <w:rPr>
          <w:rFonts w:eastAsia="Times New Roman" w:cstheme="minorHAnsi"/>
          <w:b/>
          <w:bCs/>
          <w:sz w:val="24"/>
          <w:szCs w:val="24"/>
          <w:u w:val="single"/>
        </w:rPr>
        <w:t xml:space="preserve">aculty </w:t>
      </w:r>
      <w:r>
        <w:rPr>
          <w:rFonts w:eastAsia="Times New Roman" w:cstheme="minorHAnsi"/>
          <w:b/>
          <w:bCs/>
          <w:sz w:val="24"/>
          <w:szCs w:val="24"/>
          <w:u w:val="single"/>
        </w:rPr>
        <w:t>S</w:t>
      </w:r>
      <w:r w:rsidRPr="00FE2E80">
        <w:rPr>
          <w:rFonts w:eastAsia="Times New Roman" w:cstheme="minorHAnsi"/>
          <w:b/>
          <w:bCs/>
          <w:sz w:val="24"/>
          <w:szCs w:val="24"/>
          <w:u w:val="single"/>
        </w:rPr>
        <w:t xml:space="preserve">urvey of </w:t>
      </w:r>
      <w:r>
        <w:rPr>
          <w:rFonts w:eastAsia="Times New Roman" w:cstheme="minorHAnsi"/>
          <w:b/>
          <w:bCs/>
          <w:sz w:val="24"/>
          <w:szCs w:val="24"/>
          <w:u w:val="single"/>
        </w:rPr>
        <w:t>H</w:t>
      </w:r>
      <w:r w:rsidRPr="00FE2E80">
        <w:rPr>
          <w:rFonts w:eastAsia="Times New Roman" w:cstheme="minorHAnsi"/>
          <w:b/>
          <w:bCs/>
          <w:sz w:val="24"/>
          <w:szCs w:val="24"/>
          <w:u w:val="single"/>
        </w:rPr>
        <w:t xml:space="preserve">igh-productivity </w:t>
      </w:r>
      <w:r>
        <w:rPr>
          <w:rFonts w:eastAsia="Times New Roman" w:cstheme="minorHAnsi"/>
          <w:b/>
          <w:bCs/>
          <w:sz w:val="24"/>
          <w:szCs w:val="24"/>
          <w:u w:val="single"/>
        </w:rPr>
        <w:t>F</w:t>
      </w:r>
      <w:r w:rsidRPr="00FE2E80">
        <w:rPr>
          <w:rFonts w:eastAsia="Times New Roman" w:cstheme="minorHAnsi"/>
          <w:b/>
          <w:bCs/>
          <w:sz w:val="24"/>
          <w:szCs w:val="24"/>
          <w:u w:val="single"/>
        </w:rPr>
        <w:t>aculty</w:t>
      </w:r>
    </w:p>
    <w:p w14:paraId="1103B617" w14:textId="77777777" w:rsidR="00CF3F5E" w:rsidRDefault="00CF3F5E" w:rsidP="0078373D">
      <w:pPr>
        <w:shd w:val="clear" w:color="auto" w:fill="FFFFFF"/>
        <w:spacing w:after="0" w:line="240" w:lineRule="auto"/>
        <w:rPr>
          <w:rFonts w:eastAsia="Times New Roman" w:cstheme="minorHAnsi"/>
          <w:sz w:val="24"/>
          <w:szCs w:val="24"/>
        </w:rPr>
      </w:pPr>
    </w:p>
    <w:p w14:paraId="566D4CBF" w14:textId="77777777" w:rsidR="00CF3F5E" w:rsidRDefault="00CF3F5E" w:rsidP="0078373D">
      <w:pPr>
        <w:shd w:val="clear" w:color="auto" w:fill="FFFFFF"/>
        <w:spacing w:after="0" w:line="240" w:lineRule="auto"/>
        <w:rPr>
          <w:rFonts w:eastAsia="Times New Roman" w:cstheme="minorHAnsi"/>
          <w:sz w:val="24"/>
          <w:szCs w:val="24"/>
        </w:rPr>
      </w:pPr>
      <w:r>
        <w:rPr>
          <w:rFonts w:eastAsia="Times New Roman" w:cstheme="minorHAnsi"/>
          <w:sz w:val="24"/>
          <w:szCs w:val="24"/>
        </w:rPr>
        <w:t>In order to have a better sense of how faculty perceived the new R2 status, 24 high productivity faculty were asked, and 19 responded to nine questions about their: current load; is the current load appropriate for R2 status?; what should be the primary source of research reassign time (beyond grant funding)?; is consistency a concern in research reassign time?; is department efficiency near to being optimal?; do you feel recognized/appreciated for your scholarly productivity?, and additional comments?</w:t>
      </w:r>
    </w:p>
    <w:p w14:paraId="3A2624A9" w14:textId="77777777" w:rsidR="00CF3F5E" w:rsidRDefault="00CF3F5E" w:rsidP="0078373D">
      <w:pPr>
        <w:shd w:val="clear" w:color="auto" w:fill="FFFFFF"/>
        <w:spacing w:after="0" w:line="240" w:lineRule="auto"/>
        <w:rPr>
          <w:rFonts w:eastAsia="Times New Roman" w:cstheme="minorHAnsi"/>
          <w:sz w:val="24"/>
          <w:szCs w:val="24"/>
        </w:rPr>
      </w:pPr>
    </w:p>
    <w:p w14:paraId="64594919" w14:textId="77777777" w:rsidR="00CF3F5E" w:rsidRDefault="00CF3F5E" w:rsidP="00397E94">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In brief, all respondents indicated that they had a functional 4-4 workload.  Assuming an 8-course (annual) load, they reported slightly more than a 2-3 teaching load (5.3) and slightly more than one administrative reassign time (1.2) on average. Because the sample was research intensive faculty, funded or matching reassign was unusually high (0.7). Reassign time specifically for research and sabbaticals was 0.8. The vast majority (79%) felt that the teaching load was not appropriate for an R2 institution. Preferences for the mechanism to be used were largely split between combination-of-approaches (47%) and primarily-past-research-productivity (42%). All respondents reported with concerns about the consistency of research reassign time year-to-year. Over half (53%) expressed confidence in the teaching efficiency in their department but a substantial number declined to answer, and a handful of respondents expressed or implied distrust in the idea of increasing teaching efficiency actually being used to reduce teaching load. Over half (52%) of the respondents felt recognized and appreciated but 37% did not; 11% did not respond. Open ended comments from 52% of the respondents included a variety of suggestions and concerns worth consideration. See Appendix E for more detailed information. </w:t>
      </w:r>
    </w:p>
    <w:p w14:paraId="50563EE4" w14:textId="77777777" w:rsidR="00CF3F5E" w:rsidRDefault="00CF3F5E" w:rsidP="00397E94">
      <w:pPr>
        <w:shd w:val="clear" w:color="auto" w:fill="FFFFFF"/>
        <w:spacing w:after="0" w:line="240" w:lineRule="auto"/>
        <w:rPr>
          <w:rFonts w:eastAsia="Times New Roman" w:cstheme="minorHAnsi"/>
          <w:sz w:val="24"/>
          <w:szCs w:val="24"/>
        </w:rPr>
      </w:pPr>
    </w:p>
    <w:p w14:paraId="17B77F81" w14:textId="77777777" w:rsidR="00CF3F5E" w:rsidRDefault="00CF3F5E" w:rsidP="00397E94">
      <w:pPr>
        <w:shd w:val="clear" w:color="auto" w:fill="FFFFFF"/>
        <w:spacing w:after="0" w:line="240" w:lineRule="auto"/>
        <w:rPr>
          <w:rFonts w:eastAsia="Times New Roman" w:cstheme="minorHAnsi"/>
          <w:sz w:val="24"/>
          <w:szCs w:val="24"/>
        </w:rPr>
      </w:pPr>
      <w:r w:rsidRPr="00DC738C">
        <w:rPr>
          <w:rFonts w:eastAsia="Times New Roman" w:cstheme="minorHAnsi"/>
          <w:b/>
          <w:bCs/>
          <w:sz w:val="24"/>
          <w:szCs w:val="24"/>
          <w:u w:val="single"/>
        </w:rPr>
        <w:t>Additional Issues to Consider</w:t>
      </w:r>
    </w:p>
    <w:p w14:paraId="75A3470F" w14:textId="77777777" w:rsidR="00CF3F5E" w:rsidRDefault="00CF3F5E" w:rsidP="00397E94">
      <w:pPr>
        <w:shd w:val="clear" w:color="auto" w:fill="FFFFFF"/>
        <w:spacing w:after="0" w:line="240" w:lineRule="auto"/>
        <w:rPr>
          <w:rFonts w:eastAsia="Times New Roman" w:cstheme="minorHAnsi"/>
          <w:sz w:val="24"/>
          <w:szCs w:val="24"/>
        </w:rPr>
      </w:pPr>
    </w:p>
    <w:p w14:paraId="13EA0A6E" w14:textId="77777777" w:rsidR="00CF3F5E" w:rsidRPr="008B0E77" w:rsidRDefault="00CF3F5E" w:rsidP="00DC738C">
      <w:pPr>
        <w:spacing w:after="0" w:line="240" w:lineRule="auto"/>
        <w:rPr>
          <w:rFonts w:ascii="Calibri" w:hAnsi="Calibri" w:cs="Calibri"/>
          <w:b/>
          <w:bCs/>
          <w:color w:val="000000"/>
          <w:sz w:val="24"/>
          <w:szCs w:val="24"/>
          <w:shd w:val="clear" w:color="auto" w:fill="FFFFFF"/>
        </w:rPr>
      </w:pPr>
      <w:r w:rsidRPr="008B0E77">
        <w:rPr>
          <w:rFonts w:eastAsia="Times New Roman" w:cstheme="minorHAnsi"/>
          <w:b/>
          <w:bCs/>
          <w:sz w:val="24"/>
          <w:szCs w:val="24"/>
        </w:rPr>
        <w:t>Teaching demands</w:t>
      </w:r>
    </w:p>
    <w:p w14:paraId="149EDABB" w14:textId="77777777" w:rsidR="00CF3F5E" w:rsidRPr="008B0E77" w:rsidRDefault="00CF3F5E" w:rsidP="00DC738C">
      <w:pPr>
        <w:spacing w:after="0" w:line="240" w:lineRule="auto"/>
        <w:rPr>
          <w:rFonts w:ascii="Calibri" w:hAnsi="Calibri" w:cs="Calibri"/>
          <w:bCs/>
          <w:color w:val="000000"/>
          <w:sz w:val="24"/>
          <w:szCs w:val="24"/>
          <w:shd w:val="clear" w:color="auto" w:fill="FFFFFF"/>
        </w:rPr>
      </w:pPr>
    </w:p>
    <w:p w14:paraId="2D39F753" w14:textId="77777777" w:rsidR="00CF3F5E" w:rsidRDefault="00CF3F5E" w:rsidP="00DC738C">
      <w:pPr>
        <w:spacing w:after="0" w:line="240" w:lineRule="auto"/>
        <w:rPr>
          <w:rFonts w:ascii="Calibri" w:hAnsi="Calibri" w:cs="Calibri"/>
          <w:bCs/>
          <w:color w:val="000000"/>
          <w:sz w:val="24"/>
          <w:szCs w:val="24"/>
          <w:shd w:val="clear" w:color="auto" w:fill="FFFFFF"/>
        </w:rPr>
      </w:pPr>
      <w:r w:rsidRPr="008B0E77">
        <w:rPr>
          <w:rFonts w:ascii="Calibri" w:hAnsi="Calibri" w:cs="Calibri"/>
          <w:bCs/>
          <w:color w:val="000000"/>
          <w:sz w:val="24"/>
          <w:szCs w:val="24"/>
          <w:shd w:val="clear" w:color="auto" w:fill="FFFFFF"/>
        </w:rPr>
        <w:t>The</w:t>
      </w:r>
      <w:r>
        <w:rPr>
          <w:rFonts w:ascii="Calibri" w:hAnsi="Calibri" w:cs="Calibri"/>
          <w:bCs/>
          <w:color w:val="000000"/>
          <w:sz w:val="24"/>
          <w:szCs w:val="24"/>
          <w:shd w:val="clear" w:color="auto" w:fill="FFFFFF"/>
        </w:rPr>
        <w:t xml:space="preserve"> standard default workload for tenure track faculty is a 4-4 (based on 3 credit courses), with a portion of a class allocated for university service and student advising. Reassign times, whatever their purpose, start from this workload basis. While teaching a 4-4 load is uncommon, the workload is not substantially diminished with </w:t>
      </w:r>
      <w:r>
        <w:rPr>
          <w:rFonts w:ascii="Calibri" w:hAnsi="Calibri" w:cs="Calibri"/>
          <w:bCs/>
          <w:color w:val="000000"/>
          <w:sz w:val="24"/>
          <w:szCs w:val="24"/>
          <w:shd w:val="clear" w:color="auto" w:fill="FFFFFF"/>
        </w:rPr>
        <w:lastRenderedPageBreak/>
        <w:t xml:space="preserve">alternate assignments and their respective expectations. This is heavy teaching/administrative load, with significantly less research expectations than some, but not all, public institutions of higher education. A review of public institutions of higher education is reviewed later in this report. </w:t>
      </w:r>
    </w:p>
    <w:p w14:paraId="23D1F841" w14:textId="77777777" w:rsidR="00CF3F5E" w:rsidRDefault="00CF3F5E" w:rsidP="00DC738C">
      <w:pPr>
        <w:spacing w:after="0" w:line="240" w:lineRule="auto"/>
        <w:rPr>
          <w:rFonts w:ascii="Calibri" w:hAnsi="Calibri" w:cs="Calibri"/>
          <w:bCs/>
          <w:color w:val="000000"/>
          <w:sz w:val="24"/>
          <w:szCs w:val="24"/>
          <w:shd w:val="clear" w:color="auto" w:fill="FFFFFF"/>
        </w:rPr>
      </w:pPr>
    </w:p>
    <w:p w14:paraId="492DABEE" w14:textId="77777777" w:rsidR="00CF3F5E" w:rsidRPr="008B0E77" w:rsidRDefault="00CF3F5E" w:rsidP="00DC738C">
      <w:pPr>
        <w:rPr>
          <w:rFonts w:ascii="Calibri" w:hAnsi="Calibri" w:cs="Calibri"/>
          <w:bCs/>
          <w:color w:val="000000"/>
          <w:sz w:val="24"/>
          <w:szCs w:val="24"/>
          <w:shd w:val="clear" w:color="auto" w:fill="FFFFFF"/>
        </w:rPr>
      </w:pPr>
      <w:r>
        <w:rPr>
          <w:rFonts w:ascii="Calibri" w:hAnsi="Calibri" w:cs="Calibri"/>
          <w:bCs/>
          <w:color w:val="000000"/>
          <w:sz w:val="24"/>
          <w:szCs w:val="24"/>
          <w:shd w:val="clear" w:color="auto" w:fill="FFFFFF"/>
        </w:rPr>
        <w:t xml:space="preserve">As important as the workload allocation for research intensity is the range and nature of the students being educated. As a high-quality regional institution with relatively affordable tuition and fees, CSUSB attracts many top students who chose it for convenience, locale, and other reasons. It has a relatively inclusive acceptance policy, so it also attracts many students needing remediation and customized teaching support. The range of student abilities in any given classroom can be quite large. Teaching a range of students with different needs is generally considered more difficult than teaching a lot of students with similar abilities </w:t>
      </w:r>
      <w:r w:rsidRPr="00393E0B">
        <w:rPr>
          <w:rFonts w:cstheme="minorHAnsi"/>
          <w:bCs/>
          <w:color w:val="000000"/>
          <w:sz w:val="24"/>
          <w:szCs w:val="24"/>
          <w:shd w:val="clear" w:color="auto" w:fill="FFFFFF"/>
        </w:rPr>
        <w:t>(</w:t>
      </w:r>
      <w:r w:rsidRPr="00393E0B">
        <w:rPr>
          <w:rFonts w:eastAsia="Times New Roman" w:cstheme="minorHAnsi"/>
          <w:sz w:val="24"/>
          <w:szCs w:val="24"/>
        </w:rPr>
        <w:t xml:space="preserve">Tomlinson &amp; Imbeau, 2023). </w:t>
      </w:r>
      <w:r w:rsidRPr="00393E0B">
        <w:rPr>
          <w:rFonts w:cstheme="minorHAnsi"/>
          <w:bCs/>
          <w:color w:val="000000"/>
          <w:sz w:val="24"/>
          <w:szCs w:val="24"/>
          <w:shd w:val="clear" w:color="auto" w:fill="FFFFFF"/>
        </w:rPr>
        <w:t xml:space="preserve">As </w:t>
      </w:r>
      <w:proofErr w:type="gramStart"/>
      <w:r w:rsidRPr="00393E0B">
        <w:rPr>
          <w:rFonts w:cstheme="minorHAnsi"/>
          <w:bCs/>
          <w:color w:val="000000"/>
          <w:sz w:val="24"/>
          <w:szCs w:val="24"/>
          <w:shd w:val="clear" w:color="auto" w:fill="FFFFFF"/>
        </w:rPr>
        <w:t>an</w:t>
      </w:r>
      <w:proofErr w:type="gramEnd"/>
      <w:r w:rsidRPr="00393E0B">
        <w:rPr>
          <w:rFonts w:cstheme="minorHAnsi"/>
          <w:bCs/>
          <w:color w:val="000000"/>
          <w:sz w:val="24"/>
          <w:szCs w:val="24"/>
          <w:shd w:val="clear" w:color="auto" w:fill="FFFFFF"/>
        </w:rPr>
        <w:t xml:space="preserve"> Hispanic Serving Institution, it attracts an enormous pop</w:t>
      </w:r>
      <w:r>
        <w:rPr>
          <w:rFonts w:ascii="Calibri" w:hAnsi="Calibri" w:cs="Calibri"/>
          <w:bCs/>
          <w:color w:val="000000"/>
          <w:sz w:val="24"/>
          <w:szCs w:val="24"/>
          <w:shd w:val="clear" w:color="auto" w:fill="FFFFFF"/>
        </w:rPr>
        <w:t>ulation of first-generation college students who need more support from the institution in lieu of an academic tradition in their families. Family responsibilities and financial burden add to the challenges that students confront and with which faculty must find as many appropriate accommodations and specialized strategies as possible. Therefore, the teaching load at CSUSB is not only heavy, but the nature of teaching is especially demanding for those who want to be excellent instructors.</w:t>
      </w:r>
    </w:p>
    <w:p w14:paraId="7829ACE3" w14:textId="77777777" w:rsidR="00CF3F5E" w:rsidRDefault="00CF3F5E" w:rsidP="00397E94">
      <w:pPr>
        <w:shd w:val="clear" w:color="auto" w:fill="FFFFFF"/>
        <w:spacing w:after="0" w:line="240" w:lineRule="auto"/>
        <w:rPr>
          <w:rFonts w:eastAsia="Times New Roman" w:cstheme="minorHAnsi"/>
          <w:b/>
          <w:bCs/>
          <w:sz w:val="24"/>
          <w:szCs w:val="24"/>
        </w:rPr>
      </w:pPr>
      <w:r>
        <w:rPr>
          <w:rFonts w:eastAsia="Times New Roman" w:cstheme="minorHAnsi"/>
          <w:b/>
          <w:bCs/>
          <w:sz w:val="24"/>
          <w:szCs w:val="24"/>
        </w:rPr>
        <w:t>Mission expansion, mission creep, and mission confusion</w:t>
      </w:r>
    </w:p>
    <w:p w14:paraId="71DA8217" w14:textId="77777777" w:rsidR="00CF3F5E" w:rsidRDefault="00CF3F5E" w:rsidP="00397E94">
      <w:pPr>
        <w:shd w:val="clear" w:color="auto" w:fill="FFFFFF"/>
        <w:spacing w:after="0" w:line="240" w:lineRule="auto"/>
        <w:rPr>
          <w:rFonts w:eastAsia="Times New Roman" w:cstheme="minorHAnsi"/>
          <w:sz w:val="24"/>
          <w:szCs w:val="24"/>
        </w:rPr>
      </w:pPr>
    </w:p>
    <w:p w14:paraId="66BD8F7C" w14:textId="77777777" w:rsidR="00CF3F5E" w:rsidRDefault="00CF3F5E" w:rsidP="00397E94">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One’s mission is what your critical purpose and scope is. For significant impact, the breadth of mission should match the resources to sustain it. The more resources, the broader the mission can be. While it is possible to have a broad mission with limited resources, the likelihood of limited impact and lack of guiding focus among organizational members is very high. Generally speaking, CSUSB’s mission is focused on: underrepresented minorities, region, primarily undergraduate, low-cost tuition, etc. In short, it is a relatively classic low-intensity research institution. Resources for </w:t>
      </w:r>
      <w:r w:rsidRPr="001B6590">
        <w:rPr>
          <w:rFonts w:eastAsia="Times New Roman" w:cstheme="minorHAnsi"/>
          <w:i/>
          <w:iCs/>
          <w:sz w:val="24"/>
          <w:szCs w:val="24"/>
        </w:rPr>
        <w:t>mission expansion</w:t>
      </w:r>
      <w:r>
        <w:rPr>
          <w:rFonts w:eastAsia="Times New Roman" w:cstheme="minorHAnsi"/>
          <w:sz w:val="24"/>
          <w:szCs w:val="24"/>
        </w:rPr>
        <w:t xml:space="preserve"> are relatively limited. </w:t>
      </w:r>
    </w:p>
    <w:p w14:paraId="11366DE1" w14:textId="77777777" w:rsidR="00CF3F5E" w:rsidRDefault="00CF3F5E" w:rsidP="00397E94">
      <w:pPr>
        <w:shd w:val="clear" w:color="auto" w:fill="FFFFFF"/>
        <w:spacing w:after="0" w:line="240" w:lineRule="auto"/>
        <w:rPr>
          <w:rFonts w:eastAsia="Times New Roman" w:cstheme="minorHAnsi"/>
          <w:sz w:val="24"/>
          <w:szCs w:val="24"/>
        </w:rPr>
      </w:pPr>
    </w:p>
    <w:p w14:paraId="7021FE71" w14:textId="77777777" w:rsidR="00CF3F5E" w:rsidRDefault="00CF3F5E" w:rsidP="00397E94">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Mission expansion is not always a strategic plan. It often just happens in organizations in small incremental bits. When resource expansion does not happen concurrently, it is often referred to as </w:t>
      </w:r>
      <w:r w:rsidRPr="001B6590">
        <w:rPr>
          <w:rFonts w:eastAsia="Times New Roman" w:cstheme="minorHAnsi"/>
          <w:i/>
          <w:iCs/>
          <w:sz w:val="24"/>
          <w:szCs w:val="24"/>
        </w:rPr>
        <w:t>mission creep</w:t>
      </w:r>
      <w:r>
        <w:rPr>
          <w:rFonts w:eastAsia="Times New Roman" w:cstheme="minorHAnsi"/>
          <w:sz w:val="24"/>
          <w:szCs w:val="24"/>
        </w:rPr>
        <w:t xml:space="preserve">. Mission creep can be curbed or eliminated by requiring matching mission expansion with new resources in the administrative or governance process. Mission creep can also be mitigated by eliminating unsuccessful programmatic initiatives from time-to-time in order to focus resources, maintain high quality, and increase achievement. </w:t>
      </w:r>
    </w:p>
    <w:p w14:paraId="632B2D9C" w14:textId="77777777" w:rsidR="00CF3F5E" w:rsidRDefault="00CF3F5E" w:rsidP="00397E94">
      <w:pPr>
        <w:shd w:val="clear" w:color="auto" w:fill="FFFFFF"/>
        <w:spacing w:after="0" w:line="240" w:lineRule="auto"/>
        <w:rPr>
          <w:rFonts w:eastAsia="Times New Roman" w:cstheme="minorHAnsi"/>
          <w:sz w:val="24"/>
          <w:szCs w:val="24"/>
        </w:rPr>
      </w:pPr>
    </w:p>
    <w:p w14:paraId="0A819D8E" w14:textId="77777777" w:rsidR="00CF3F5E" w:rsidRPr="00DC738C" w:rsidRDefault="00CF3F5E" w:rsidP="00397E94">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Organizational identity, which is highly tied to mission, is important for member motivation, client and donor recruitment, reputation, etc. However, when mission creep occurs, it inevitably leads to </w:t>
      </w:r>
      <w:r w:rsidRPr="002767FB">
        <w:rPr>
          <w:rFonts w:eastAsia="Times New Roman" w:cstheme="minorHAnsi"/>
          <w:i/>
          <w:iCs/>
          <w:sz w:val="24"/>
          <w:szCs w:val="24"/>
        </w:rPr>
        <w:t>mission confusion</w:t>
      </w:r>
      <w:r>
        <w:rPr>
          <w:rFonts w:eastAsia="Times New Roman" w:cstheme="minorHAnsi"/>
          <w:sz w:val="24"/>
          <w:szCs w:val="24"/>
        </w:rPr>
        <w:t xml:space="preserve">. When this happens, members may spend more time squabbling over resources than attracting new resources, clients and donor may become less committed to the institution, reputation will be significantly diminished, and so on.  </w:t>
      </w:r>
    </w:p>
    <w:p w14:paraId="298608EF" w14:textId="77777777" w:rsidR="00CF3F5E" w:rsidRDefault="00CF3F5E" w:rsidP="00397E94">
      <w:pPr>
        <w:shd w:val="clear" w:color="auto" w:fill="FFFFFF"/>
        <w:spacing w:after="0" w:line="240" w:lineRule="auto"/>
        <w:rPr>
          <w:rFonts w:eastAsia="Times New Roman" w:cstheme="minorHAnsi"/>
          <w:b/>
          <w:bCs/>
          <w:sz w:val="24"/>
          <w:szCs w:val="24"/>
        </w:rPr>
      </w:pPr>
    </w:p>
    <w:p w14:paraId="16118315" w14:textId="77777777" w:rsidR="00CF3F5E" w:rsidRPr="00DC738C" w:rsidRDefault="00CF3F5E" w:rsidP="00397E94">
      <w:pPr>
        <w:shd w:val="clear" w:color="auto" w:fill="FFFFFF"/>
        <w:spacing w:after="0" w:line="240" w:lineRule="auto"/>
        <w:rPr>
          <w:rFonts w:eastAsia="Times New Roman" w:cstheme="minorHAnsi"/>
          <w:b/>
          <w:bCs/>
          <w:sz w:val="24"/>
          <w:szCs w:val="24"/>
        </w:rPr>
      </w:pPr>
      <w:r w:rsidRPr="00DC738C">
        <w:rPr>
          <w:rFonts w:eastAsia="Times New Roman" w:cstheme="minorHAnsi"/>
          <w:b/>
          <w:bCs/>
          <w:sz w:val="24"/>
          <w:szCs w:val="24"/>
        </w:rPr>
        <w:t xml:space="preserve">New </w:t>
      </w:r>
      <w:r>
        <w:rPr>
          <w:rFonts w:eastAsia="Times New Roman" w:cstheme="minorHAnsi"/>
          <w:b/>
          <w:bCs/>
          <w:sz w:val="24"/>
          <w:szCs w:val="24"/>
        </w:rPr>
        <w:t>f</w:t>
      </w:r>
      <w:r w:rsidRPr="00DC738C">
        <w:rPr>
          <w:rFonts w:eastAsia="Times New Roman" w:cstheme="minorHAnsi"/>
          <w:b/>
          <w:bCs/>
          <w:sz w:val="24"/>
          <w:szCs w:val="24"/>
        </w:rPr>
        <w:t xml:space="preserve">aculty </w:t>
      </w:r>
      <w:r>
        <w:rPr>
          <w:rFonts w:eastAsia="Times New Roman" w:cstheme="minorHAnsi"/>
          <w:b/>
          <w:bCs/>
          <w:sz w:val="24"/>
          <w:szCs w:val="24"/>
        </w:rPr>
        <w:t>i</w:t>
      </w:r>
      <w:r w:rsidRPr="00DC738C">
        <w:rPr>
          <w:rFonts w:eastAsia="Times New Roman" w:cstheme="minorHAnsi"/>
          <w:b/>
          <w:bCs/>
          <w:sz w:val="24"/>
          <w:szCs w:val="24"/>
        </w:rPr>
        <w:t>ssues</w:t>
      </w:r>
    </w:p>
    <w:p w14:paraId="38DE7055" w14:textId="77777777" w:rsidR="00CF3F5E" w:rsidRDefault="00CF3F5E" w:rsidP="00397E94">
      <w:pPr>
        <w:shd w:val="clear" w:color="auto" w:fill="FFFFFF"/>
        <w:spacing w:after="0" w:line="240" w:lineRule="auto"/>
        <w:rPr>
          <w:rFonts w:eastAsia="Times New Roman" w:cstheme="minorHAnsi"/>
          <w:sz w:val="24"/>
          <w:szCs w:val="24"/>
        </w:rPr>
      </w:pPr>
    </w:p>
    <w:p w14:paraId="48882D18" w14:textId="77777777" w:rsidR="00CF3F5E" w:rsidRDefault="00CF3F5E" w:rsidP="00397E94">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A major issue related to mission confusion is new faculty recruitment, retention, and long-term satisfaction. Are new faculty being recruited to a low or moderate research intensity department or university?  Who and how is this determined? Who ensures new faculty are provided an accurate picture of the mission and resources?  When aspects of institutional mission are decentralized to departments, who ensures aspirational goals will be realistic and sustainable? While moderate and high research intensity faculty can be relatively satisfied when a low research intensity is clearly conveyed in advance, when it is not clearly conveyed it can lead to frustration, anger, burnout, and/or bitterness. An example of this occurs when departments recruit </w:t>
      </w:r>
      <w:r>
        <w:rPr>
          <w:rFonts w:eastAsia="Times New Roman" w:cstheme="minorHAnsi"/>
          <w:sz w:val="24"/>
          <w:szCs w:val="24"/>
        </w:rPr>
        <w:lastRenderedPageBreak/>
        <w:t xml:space="preserve">high-caliber faculty with promises of a 3-3 load because of the initial, but temporary, tenure-track workload reduction. When faculty later learn that the 3-3 workload is, in fact, temporary and maintaining such a load is difficult or impossible through various types of research reassign time (e.g., internal and external grants), they can become cynical, uncommitted, or leave. </w:t>
      </w:r>
    </w:p>
    <w:p w14:paraId="2B36BEBF" w14:textId="77777777" w:rsidR="00CF3F5E" w:rsidRDefault="00CF3F5E" w:rsidP="00397E94">
      <w:pPr>
        <w:shd w:val="clear" w:color="auto" w:fill="FFFFFF"/>
        <w:spacing w:after="0" w:line="240" w:lineRule="auto"/>
        <w:rPr>
          <w:rFonts w:eastAsia="Times New Roman" w:cstheme="minorHAnsi"/>
          <w:sz w:val="24"/>
          <w:szCs w:val="24"/>
        </w:rPr>
      </w:pPr>
    </w:p>
    <w:p w14:paraId="6E4074BC" w14:textId="77777777" w:rsidR="00CF3F5E" w:rsidRPr="006A56DF" w:rsidRDefault="00CF3F5E" w:rsidP="00397E94">
      <w:pPr>
        <w:shd w:val="clear" w:color="auto" w:fill="FFFFFF"/>
        <w:spacing w:after="0" w:line="240" w:lineRule="auto"/>
        <w:rPr>
          <w:rFonts w:eastAsia="Times New Roman" w:cstheme="minorHAnsi"/>
          <w:b/>
          <w:bCs/>
          <w:sz w:val="24"/>
          <w:szCs w:val="24"/>
        </w:rPr>
      </w:pPr>
      <w:r w:rsidRPr="006A56DF">
        <w:rPr>
          <w:rFonts w:eastAsia="Times New Roman" w:cstheme="minorHAnsi"/>
          <w:b/>
          <w:bCs/>
          <w:sz w:val="24"/>
          <w:szCs w:val="24"/>
        </w:rPr>
        <w:t xml:space="preserve">Faculty </w:t>
      </w:r>
      <w:r>
        <w:rPr>
          <w:rFonts w:eastAsia="Times New Roman" w:cstheme="minorHAnsi"/>
          <w:b/>
          <w:bCs/>
          <w:sz w:val="24"/>
          <w:szCs w:val="24"/>
        </w:rPr>
        <w:t>p</w:t>
      </w:r>
      <w:r w:rsidRPr="006A56DF">
        <w:rPr>
          <w:rFonts w:eastAsia="Times New Roman" w:cstheme="minorHAnsi"/>
          <w:b/>
          <w:bCs/>
          <w:sz w:val="24"/>
          <w:szCs w:val="24"/>
        </w:rPr>
        <w:t xml:space="preserve">reparation for </w:t>
      </w:r>
      <w:r>
        <w:rPr>
          <w:rFonts w:eastAsia="Times New Roman" w:cstheme="minorHAnsi"/>
          <w:b/>
          <w:bCs/>
          <w:sz w:val="24"/>
          <w:szCs w:val="24"/>
        </w:rPr>
        <w:t>r</w:t>
      </w:r>
      <w:r w:rsidRPr="006A56DF">
        <w:rPr>
          <w:rFonts w:eastAsia="Times New Roman" w:cstheme="minorHAnsi"/>
          <w:b/>
          <w:bCs/>
          <w:sz w:val="24"/>
          <w:szCs w:val="24"/>
        </w:rPr>
        <w:t>esearch</w:t>
      </w:r>
    </w:p>
    <w:p w14:paraId="39CB37D9" w14:textId="77777777" w:rsidR="00CF3F5E" w:rsidRDefault="00CF3F5E" w:rsidP="00397E94">
      <w:pPr>
        <w:shd w:val="clear" w:color="auto" w:fill="FFFFFF"/>
        <w:spacing w:after="0" w:line="240" w:lineRule="auto"/>
        <w:rPr>
          <w:rFonts w:eastAsia="Times New Roman" w:cstheme="minorHAnsi"/>
          <w:sz w:val="24"/>
          <w:szCs w:val="24"/>
        </w:rPr>
      </w:pPr>
    </w:p>
    <w:p w14:paraId="442A5ADF" w14:textId="77777777" w:rsidR="00CF3F5E" w:rsidRDefault="00CF3F5E" w:rsidP="00397E94">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Yet another issue related to faculty is their preparation for research. When recruitment is for a low-intensity research institution, faculty recruitment can deemphasize candidate research capacity. If promotion is essentially noncompetitive, this is not particularly problematic because low research standards ensure high levels of faculty success. When there is a desire to move to a higher research intensity, the quality of training and skills for research become more critical. On one hand, recruitment of new faculty can focus more rigorously on research capability. On the other, faculty who are recruited with weak research skills can be supported by being able to work in teams, auxiliary research methods training, individualized support (a research mentor), etc. Currently at CSUSB, the capacity of faculty for research varies greatly, as does faculty interest in doing research. </w:t>
      </w:r>
    </w:p>
    <w:p w14:paraId="27ECEB17" w14:textId="77777777" w:rsidR="00CF3F5E" w:rsidRDefault="00CF3F5E" w:rsidP="00397E94">
      <w:pPr>
        <w:shd w:val="clear" w:color="auto" w:fill="FFFFFF"/>
        <w:spacing w:after="0" w:line="240" w:lineRule="auto"/>
        <w:rPr>
          <w:rFonts w:eastAsia="Times New Roman" w:cstheme="minorHAnsi"/>
          <w:sz w:val="24"/>
          <w:szCs w:val="24"/>
        </w:rPr>
      </w:pPr>
    </w:p>
    <w:p w14:paraId="47038F2C" w14:textId="77777777" w:rsidR="00CF3F5E" w:rsidRDefault="00CF3F5E" w:rsidP="00397E94">
      <w:pPr>
        <w:shd w:val="clear" w:color="auto" w:fill="FFFFFF"/>
        <w:spacing w:after="0" w:line="240" w:lineRule="auto"/>
        <w:rPr>
          <w:rFonts w:eastAsia="Times New Roman" w:cstheme="minorHAnsi"/>
          <w:sz w:val="24"/>
          <w:szCs w:val="24"/>
        </w:rPr>
      </w:pPr>
      <w:r w:rsidRPr="00BD0157">
        <w:rPr>
          <w:rFonts w:eastAsia="Times New Roman" w:cstheme="minorHAnsi"/>
          <w:b/>
          <w:bCs/>
          <w:sz w:val="24"/>
          <w:szCs w:val="24"/>
        </w:rPr>
        <w:t>Accountability as workloads and teaching loads decrease</w:t>
      </w:r>
    </w:p>
    <w:p w14:paraId="6E985F34" w14:textId="77777777" w:rsidR="00CF3F5E" w:rsidRDefault="00CF3F5E" w:rsidP="00397E94">
      <w:pPr>
        <w:shd w:val="clear" w:color="auto" w:fill="FFFFFF"/>
        <w:spacing w:after="0" w:line="240" w:lineRule="auto"/>
        <w:rPr>
          <w:rFonts w:eastAsia="Times New Roman" w:cstheme="minorHAnsi"/>
          <w:sz w:val="24"/>
          <w:szCs w:val="24"/>
        </w:rPr>
      </w:pPr>
    </w:p>
    <w:p w14:paraId="66892E06" w14:textId="77777777" w:rsidR="00CF3F5E" w:rsidRPr="00BD0157" w:rsidRDefault="00CF3F5E" w:rsidP="00397E94">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While all professions rely heavily on intrinsic professionalism, all have extrinsic mechanisms to ensure that minimal professional standards and/or productivity are maintained. Therefore, another issue to think through is accountability for productivity—teaching and service as well as research—if and when work and teaching loads are decreased. Will faculty workloads be decreased based on merit or across-the-board? If across-the-board and productivity levels are well below a professional average for some faculty, will there be any governance recourse? If workloads are decreased across-the-board, will this encourage “free-riders” and simultaneously demotivate highly dedicated faculty? If a merit system is implemented to enhance motivation and resource conservation, how does such a system get effectuated? Getting widespread buy-in for changes to the overall accountability system, of whatever type, will be a significant challenge in the CSUSB environment. </w:t>
      </w:r>
    </w:p>
    <w:p w14:paraId="37B777D1" w14:textId="77777777" w:rsidR="00CF3F5E" w:rsidRDefault="00CF3F5E" w:rsidP="00397E94">
      <w:pPr>
        <w:spacing w:after="0" w:line="240" w:lineRule="auto"/>
        <w:rPr>
          <w:rFonts w:ascii="Calibri" w:hAnsi="Calibri" w:cs="Calibri"/>
          <w:b/>
          <w:color w:val="000000"/>
          <w:sz w:val="28"/>
          <w:szCs w:val="28"/>
          <w:shd w:val="clear" w:color="auto" w:fill="FFFFFF"/>
        </w:rPr>
      </w:pPr>
    </w:p>
    <w:p w14:paraId="147C6C63" w14:textId="77777777" w:rsidR="00CF3F5E" w:rsidRPr="00B610D6" w:rsidRDefault="00CF3F5E" w:rsidP="00B610D6">
      <w:pPr>
        <w:shd w:val="clear" w:color="auto" w:fill="FFFFFF"/>
        <w:spacing w:after="0" w:line="240" w:lineRule="auto"/>
        <w:rPr>
          <w:rFonts w:eastAsia="Times New Roman" w:cstheme="minorHAnsi"/>
          <w:b/>
          <w:bCs/>
          <w:sz w:val="24"/>
          <w:szCs w:val="24"/>
          <w:u w:val="single"/>
        </w:rPr>
      </w:pPr>
      <w:r w:rsidRPr="00B610D6">
        <w:rPr>
          <w:rFonts w:eastAsia="Times New Roman" w:cstheme="minorHAnsi"/>
          <w:b/>
          <w:bCs/>
          <w:sz w:val="24"/>
          <w:szCs w:val="24"/>
          <w:u w:val="single"/>
        </w:rPr>
        <w:t>Recommendations</w:t>
      </w:r>
      <w:r>
        <w:rPr>
          <w:rFonts w:eastAsia="Times New Roman" w:cstheme="minorHAnsi"/>
          <w:b/>
          <w:bCs/>
          <w:sz w:val="24"/>
          <w:szCs w:val="24"/>
          <w:u w:val="single"/>
        </w:rPr>
        <w:t xml:space="preserve"> of the Faculty Research Fellow</w:t>
      </w:r>
    </w:p>
    <w:p w14:paraId="0456D52E" w14:textId="77777777" w:rsidR="00CF3F5E" w:rsidRDefault="00CF3F5E" w:rsidP="00CF3F5E">
      <w:pPr>
        <w:pStyle w:val="ListParagraph"/>
        <w:numPr>
          <w:ilvl w:val="0"/>
          <w:numId w:val="28"/>
        </w:numPr>
        <w:shd w:val="clear" w:color="auto" w:fill="FFFFFF"/>
        <w:spacing w:after="0" w:line="240" w:lineRule="auto"/>
        <w:rPr>
          <w:rFonts w:eastAsia="Times New Roman" w:cstheme="minorHAnsi"/>
          <w:sz w:val="24"/>
          <w:szCs w:val="24"/>
        </w:rPr>
      </w:pPr>
      <w:r>
        <w:rPr>
          <w:rFonts w:eastAsia="Times New Roman" w:cstheme="minorHAnsi"/>
          <w:sz w:val="24"/>
          <w:szCs w:val="24"/>
        </w:rPr>
        <w:t>Differentiate between modestly (low) research-intensive institutions, R2 status institutions, and moderately research-intensive institutions because they are different (mission confusion).</w:t>
      </w:r>
    </w:p>
    <w:p w14:paraId="123CF691" w14:textId="77777777" w:rsidR="00CF3F5E" w:rsidRPr="00B610D6" w:rsidRDefault="00CF3F5E" w:rsidP="00CF3F5E">
      <w:pPr>
        <w:pStyle w:val="ListParagraph"/>
        <w:numPr>
          <w:ilvl w:val="0"/>
          <w:numId w:val="28"/>
        </w:numPr>
        <w:shd w:val="clear" w:color="auto" w:fill="FFFFFF"/>
        <w:spacing w:after="0" w:line="240" w:lineRule="auto"/>
        <w:rPr>
          <w:rFonts w:eastAsia="Times New Roman" w:cstheme="minorHAnsi"/>
          <w:sz w:val="24"/>
          <w:szCs w:val="24"/>
        </w:rPr>
      </w:pPr>
      <w:r>
        <w:rPr>
          <w:rFonts w:eastAsia="Times New Roman" w:cstheme="minorHAnsi"/>
          <w:sz w:val="24"/>
          <w:szCs w:val="24"/>
        </w:rPr>
        <w:t>Since R2 is a classification, not a ranking, do not use boastful language in discussing this classification (mission confusion); establish a well-defined working nomenclature having to do with terms like workload, teaching load, reassign time, R2, low and moderate research-intensity, etc. Use more precise language in describing scholarly research accomplishments.</w:t>
      </w:r>
    </w:p>
    <w:p w14:paraId="47CBDCA3" w14:textId="77777777" w:rsidR="00CF3F5E" w:rsidRDefault="00CF3F5E" w:rsidP="00CF3F5E">
      <w:pPr>
        <w:pStyle w:val="ListParagraph"/>
        <w:numPr>
          <w:ilvl w:val="0"/>
          <w:numId w:val="28"/>
        </w:numPr>
        <w:shd w:val="clear" w:color="auto" w:fill="FFFFFF"/>
        <w:spacing w:after="0" w:line="240" w:lineRule="auto"/>
        <w:rPr>
          <w:rFonts w:eastAsia="Times New Roman" w:cstheme="minorHAnsi"/>
          <w:sz w:val="24"/>
          <w:szCs w:val="24"/>
        </w:rPr>
      </w:pPr>
      <w:r>
        <w:rPr>
          <w:rFonts w:eastAsia="Times New Roman" w:cstheme="minorHAnsi"/>
          <w:sz w:val="24"/>
          <w:szCs w:val="24"/>
        </w:rPr>
        <w:t>Because CSUSB’s current mission is robust and broadly supported and resources are currently configured as those supporting a primarily undergraduate institution, more than modest mission expansion is unwise. However, some modest mission expansion is possible, but can only be sustained if it is done thoughtfully and carefully.</w:t>
      </w:r>
    </w:p>
    <w:p w14:paraId="72DC2963" w14:textId="77777777" w:rsidR="00CF3F5E" w:rsidRDefault="00CF3F5E" w:rsidP="00CF3F5E">
      <w:pPr>
        <w:pStyle w:val="ListParagraph"/>
        <w:numPr>
          <w:ilvl w:val="0"/>
          <w:numId w:val="28"/>
        </w:numPr>
        <w:shd w:val="clear" w:color="auto" w:fill="FFFFFF"/>
        <w:spacing w:after="0" w:line="240" w:lineRule="auto"/>
        <w:rPr>
          <w:rFonts w:eastAsia="Times New Roman" w:cstheme="minorHAnsi"/>
          <w:sz w:val="24"/>
          <w:szCs w:val="24"/>
        </w:rPr>
      </w:pPr>
      <w:r>
        <w:rPr>
          <w:rFonts w:eastAsia="Times New Roman" w:cstheme="minorHAnsi"/>
          <w:sz w:val="24"/>
          <w:szCs w:val="24"/>
        </w:rPr>
        <w:t>Provide a research support plan that is less ad hoc and more continuous; think carefully about the best mix of research incentives to accommodate both different needs and the need for some accountability.</w:t>
      </w:r>
    </w:p>
    <w:p w14:paraId="032CA272" w14:textId="77777777" w:rsidR="00CF3F5E" w:rsidRDefault="00CF3F5E" w:rsidP="00CF3F5E">
      <w:pPr>
        <w:pStyle w:val="ListParagraph"/>
        <w:numPr>
          <w:ilvl w:val="0"/>
          <w:numId w:val="28"/>
        </w:numPr>
        <w:shd w:val="clear" w:color="auto" w:fill="FFFFFF"/>
        <w:spacing w:after="0" w:line="240" w:lineRule="auto"/>
        <w:rPr>
          <w:rFonts w:eastAsia="Times New Roman" w:cstheme="minorHAnsi"/>
          <w:sz w:val="24"/>
          <w:szCs w:val="24"/>
        </w:rPr>
      </w:pPr>
      <w:r>
        <w:rPr>
          <w:rFonts w:eastAsia="Times New Roman" w:cstheme="minorHAnsi"/>
          <w:sz w:val="24"/>
          <w:szCs w:val="24"/>
        </w:rPr>
        <w:t>Work to have an environment in which an “honest conversation” about RPT standards and moving toward a more moderately-intensive institution. Work to reduce widespread, but not universal, distrust of the administration regarding genuine support for research.</w:t>
      </w:r>
    </w:p>
    <w:p w14:paraId="62609D0B" w14:textId="77777777" w:rsidR="00CF3F5E" w:rsidRDefault="00CF3F5E" w:rsidP="00CF3F5E">
      <w:pPr>
        <w:pStyle w:val="ListParagraph"/>
        <w:numPr>
          <w:ilvl w:val="0"/>
          <w:numId w:val="28"/>
        </w:num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Enhance scholarly research visibility as well as research recognition. </w:t>
      </w:r>
    </w:p>
    <w:p w14:paraId="2F75A097" w14:textId="77777777" w:rsidR="00CF3F5E" w:rsidRDefault="00CF3F5E" w:rsidP="00CF3F5E">
      <w:pPr>
        <w:pStyle w:val="ListParagraph"/>
        <w:numPr>
          <w:ilvl w:val="0"/>
          <w:numId w:val="28"/>
        </w:numPr>
        <w:shd w:val="clear" w:color="auto" w:fill="FFFFFF"/>
        <w:spacing w:after="0" w:line="240" w:lineRule="auto"/>
        <w:rPr>
          <w:rFonts w:eastAsia="Times New Roman" w:cstheme="minorHAnsi"/>
          <w:sz w:val="24"/>
          <w:szCs w:val="24"/>
        </w:rPr>
      </w:pPr>
      <w:r>
        <w:rPr>
          <w:rFonts w:eastAsia="Times New Roman" w:cstheme="minorHAnsi"/>
          <w:sz w:val="24"/>
          <w:szCs w:val="24"/>
        </w:rPr>
        <w:lastRenderedPageBreak/>
        <w:t xml:space="preserve">Have a tough discussion about the need to review administration and teaching efficiency. A five percent across-the-board increase in teaching efficiency, and a five percent decrease in administrative bloat could fund an across-the-board reduction of the tenured and tenure-track default workload by a full course, moving it from a 4-4 to a 4-3. </w:t>
      </w:r>
    </w:p>
    <w:p w14:paraId="4E9E996C" w14:textId="77777777" w:rsidR="00CF3F5E" w:rsidRDefault="00CF3F5E" w:rsidP="00397E94">
      <w:pPr>
        <w:spacing w:after="0" w:line="240" w:lineRule="auto"/>
        <w:rPr>
          <w:rFonts w:ascii="Calibri" w:hAnsi="Calibri" w:cs="Calibri"/>
          <w:b/>
          <w:color w:val="000000"/>
          <w:sz w:val="28"/>
          <w:szCs w:val="28"/>
          <w:shd w:val="clear" w:color="auto" w:fill="FFFFFF"/>
        </w:rPr>
      </w:pPr>
    </w:p>
    <w:p w14:paraId="35709289" w14:textId="77777777" w:rsidR="00CF3F5E" w:rsidRPr="006F5A01" w:rsidRDefault="00CF3F5E" w:rsidP="00B610D6">
      <w:pPr>
        <w:rPr>
          <w:rFonts w:cstheme="minorHAnsi"/>
          <w:b/>
          <w:color w:val="000000"/>
          <w:sz w:val="24"/>
          <w:szCs w:val="24"/>
          <w:u w:val="single"/>
          <w:shd w:val="clear" w:color="auto" w:fill="FFFFFF"/>
        </w:rPr>
      </w:pPr>
      <w:r w:rsidRPr="006F5A01">
        <w:rPr>
          <w:rFonts w:cstheme="minorHAnsi"/>
          <w:b/>
          <w:color w:val="000000"/>
          <w:sz w:val="24"/>
          <w:szCs w:val="24"/>
          <w:u w:val="single"/>
          <w:shd w:val="clear" w:color="auto" w:fill="FFFFFF"/>
        </w:rPr>
        <w:t>References</w:t>
      </w:r>
    </w:p>
    <w:p w14:paraId="3AB2647E" w14:textId="77777777" w:rsidR="00CF3F5E" w:rsidRPr="006F5A01" w:rsidRDefault="00CF3F5E" w:rsidP="00743DF9">
      <w:pPr>
        <w:rPr>
          <w:rFonts w:cstheme="minorHAnsi"/>
          <w:bCs/>
          <w:color w:val="000000"/>
          <w:sz w:val="24"/>
          <w:szCs w:val="24"/>
          <w:shd w:val="clear" w:color="auto" w:fill="FFFFFF"/>
        </w:rPr>
      </w:pPr>
      <w:proofErr w:type="spellStart"/>
      <w:r w:rsidRPr="006F5A01">
        <w:rPr>
          <w:rFonts w:cstheme="minorHAnsi"/>
          <w:bCs/>
          <w:color w:val="000000"/>
          <w:sz w:val="24"/>
          <w:szCs w:val="24"/>
          <w:shd w:val="clear" w:color="auto" w:fill="FFFFFF"/>
        </w:rPr>
        <w:t>Scimago</w:t>
      </w:r>
      <w:proofErr w:type="spellEnd"/>
      <w:r w:rsidRPr="006F5A01">
        <w:rPr>
          <w:rFonts w:cstheme="minorHAnsi"/>
          <w:bCs/>
          <w:color w:val="000000"/>
          <w:sz w:val="24"/>
          <w:szCs w:val="24"/>
          <w:shd w:val="clear" w:color="auto" w:fill="FFFFFF"/>
        </w:rPr>
        <w:t xml:space="preserve"> university rankings, https://www.scimagoir.com/rankings.php?sector=Higher%20educ.</w:t>
      </w:r>
    </w:p>
    <w:p w14:paraId="68C5FDA1" w14:textId="77777777" w:rsidR="00CF3F5E" w:rsidRPr="00063DD0" w:rsidRDefault="00CF3F5E" w:rsidP="00063DD0">
      <w:pPr>
        <w:spacing w:after="0" w:line="240" w:lineRule="auto"/>
        <w:rPr>
          <w:rFonts w:eastAsia="Times New Roman" w:cstheme="minorHAnsi"/>
          <w:sz w:val="24"/>
          <w:szCs w:val="24"/>
        </w:rPr>
      </w:pPr>
      <w:r w:rsidRPr="00063DD0">
        <w:rPr>
          <w:rFonts w:eastAsia="Times New Roman" w:cstheme="minorHAnsi"/>
          <w:sz w:val="24"/>
          <w:szCs w:val="24"/>
        </w:rPr>
        <w:t xml:space="preserve">Tomlinson, C. A., &amp; Imbeau, M. B. (2023). </w:t>
      </w:r>
      <w:r w:rsidRPr="00063DD0">
        <w:rPr>
          <w:rFonts w:eastAsia="Times New Roman" w:cstheme="minorHAnsi"/>
          <w:i/>
          <w:iCs/>
          <w:sz w:val="24"/>
          <w:szCs w:val="24"/>
        </w:rPr>
        <w:t>Leading and managing a differentiated classroom</w:t>
      </w:r>
      <w:r w:rsidRPr="00063DD0">
        <w:rPr>
          <w:rFonts w:eastAsia="Times New Roman" w:cstheme="minorHAnsi"/>
          <w:sz w:val="24"/>
          <w:szCs w:val="24"/>
        </w:rPr>
        <w:t xml:space="preserve">. </w:t>
      </w:r>
      <w:proofErr w:type="spellStart"/>
      <w:r w:rsidRPr="00063DD0">
        <w:rPr>
          <w:rFonts w:eastAsia="Times New Roman" w:cstheme="minorHAnsi"/>
          <w:sz w:val="24"/>
          <w:szCs w:val="24"/>
        </w:rPr>
        <w:t>Ascd</w:t>
      </w:r>
      <w:proofErr w:type="spellEnd"/>
      <w:r w:rsidRPr="00063DD0">
        <w:rPr>
          <w:rFonts w:eastAsia="Times New Roman" w:cstheme="minorHAnsi"/>
          <w:sz w:val="24"/>
          <w:szCs w:val="24"/>
        </w:rPr>
        <w:t>.</w:t>
      </w:r>
    </w:p>
    <w:p w14:paraId="0E9FEAC0" w14:textId="77777777" w:rsidR="00CF3F5E" w:rsidRDefault="00CF3F5E" w:rsidP="00E47202">
      <w:pPr>
        <w:jc w:val="center"/>
        <w:rPr>
          <w:rFonts w:ascii="Calibri" w:hAnsi="Calibri" w:cs="Calibri"/>
          <w:b/>
          <w:color w:val="000000"/>
          <w:sz w:val="28"/>
          <w:szCs w:val="28"/>
          <w:shd w:val="clear" w:color="auto" w:fill="FFFFFF"/>
        </w:rPr>
      </w:pPr>
    </w:p>
    <w:p w14:paraId="27FD7263" w14:textId="77777777" w:rsidR="00CF3F5E" w:rsidRPr="00917C59" w:rsidRDefault="00CF3F5E" w:rsidP="00E47202">
      <w:pPr>
        <w:jc w:val="center"/>
        <w:rPr>
          <w:rFonts w:ascii="Calibri" w:hAnsi="Calibri" w:cs="Calibri"/>
          <w:b/>
          <w:color w:val="000000"/>
          <w:sz w:val="28"/>
          <w:szCs w:val="28"/>
          <w:shd w:val="clear" w:color="auto" w:fill="FFFFFF"/>
        </w:rPr>
      </w:pPr>
      <w:r w:rsidRPr="00917C59">
        <w:rPr>
          <w:rFonts w:ascii="Calibri" w:hAnsi="Calibri" w:cs="Calibri"/>
          <w:b/>
          <w:color w:val="000000"/>
          <w:sz w:val="28"/>
          <w:szCs w:val="28"/>
          <w:shd w:val="clear" w:color="auto" w:fill="FFFFFF"/>
        </w:rPr>
        <w:t>Appendix A</w:t>
      </w:r>
    </w:p>
    <w:p w14:paraId="411A0101" w14:textId="77777777" w:rsidR="00CF3F5E" w:rsidRPr="007D1487" w:rsidRDefault="00CF3F5E" w:rsidP="00E47202">
      <w:pPr>
        <w:jc w:val="center"/>
        <w:rPr>
          <w:b/>
          <w:bCs/>
          <w:sz w:val="24"/>
          <w:szCs w:val="24"/>
        </w:rPr>
      </w:pPr>
      <w:proofErr w:type="spellStart"/>
      <w:r w:rsidRPr="007D1487">
        <w:rPr>
          <w:b/>
          <w:bCs/>
          <w:sz w:val="24"/>
          <w:szCs w:val="24"/>
        </w:rPr>
        <w:t>Scimago</w:t>
      </w:r>
      <w:proofErr w:type="spellEnd"/>
      <w:r w:rsidRPr="007D1487">
        <w:rPr>
          <w:b/>
          <w:bCs/>
          <w:sz w:val="24"/>
          <w:szCs w:val="24"/>
        </w:rPr>
        <w:t xml:space="preserve"> 202</w:t>
      </w:r>
      <w:r>
        <w:rPr>
          <w:b/>
          <w:bCs/>
          <w:sz w:val="24"/>
          <w:szCs w:val="24"/>
        </w:rPr>
        <w:t>2</w:t>
      </w:r>
      <w:r w:rsidRPr="007D1487">
        <w:rPr>
          <w:b/>
          <w:bCs/>
          <w:sz w:val="24"/>
          <w:szCs w:val="24"/>
        </w:rPr>
        <w:t xml:space="preserve"> university rankings based on </w:t>
      </w:r>
      <w:r w:rsidRPr="00C57AA7">
        <w:rPr>
          <w:b/>
          <w:bCs/>
          <w:i/>
          <w:iCs/>
          <w:sz w:val="24"/>
          <w:szCs w:val="24"/>
        </w:rPr>
        <w:t>research</w:t>
      </w:r>
      <w:r w:rsidRPr="007D1487">
        <w:rPr>
          <w:b/>
          <w:bCs/>
          <w:sz w:val="24"/>
          <w:szCs w:val="24"/>
        </w:rPr>
        <w:t>: Rankings of the CSUs</w:t>
      </w:r>
    </w:p>
    <w:p w14:paraId="1DA55051" w14:textId="77777777" w:rsidR="00CF3F5E" w:rsidRPr="000C1C62" w:rsidRDefault="00CF3F5E" w:rsidP="00E47202">
      <w:pPr>
        <w:jc w:val="center"/>
      </w:pPr>
      <w:r w:rsidRPr="000C1C62">
        <w:t xml:space="preserve">Based on 511 </w:t>
      </w:r>
      <w:r>
        <w:t xml:space="preserve">US </w:t>
      </w:r>
      <w:r w:rsidRPr="000C1C62">
        <w:t>ranked institutions</w:t>
      </w:r>
      <w:r>
        <w:t xml:space="preserve"> (84</w:t>
      </w:r>
      <w:r w:rsidRPr="000B10A2">
        <w:rPr>
          <w:vertAlign w:val="superscript"/>
        </w:rPr>
        <w:t>th</w:t>
      </w:r>
      <w:r>
        <w:t xml:space="preserve"> percentile)</w:t>
      </w:r>
    </w:p>
    <w:tbl>
      <w:tblPr>
        <w:tblStyle w:val="TableGrid"/>
        <w:tblW w:w="0" w:type="auto"/>
        <w:tblInd w:w="720" w:type="dxa"/>
        <w:tblLook w:val="04A0" w:firstRow="1" w:lastRow="0" w:firstColumn="1" w:lastColumn="0" w:noHBand="0" w:noVBand="1"/>
      </w:tblPr>
      <w:tblGrid>
        <w:gridCol w:w="3325"/>
        <w:gridCol w:w="1352"/>
        <w:gridCol w:w="2340"/>
      </w:tblGrid>
      <w:tr w:rsidR="00CF3F5E" w:rsidRPr="00C32307" w14:paraId="09449EB0" w14:textId="77777777" w:rsidTr="009D647C">
        <w:tc>
          <w:tcPr>
            <w:tcW w:w="3325" w:type="dxa"/>
          </w:tcPr>
          <w:p w14:paraId="6A06FBCE" w14:textId="77777777" w:rsidR="00CF3F5E" w:rsidRPr="00C32307" w:rsidRDefault="00CF3F5E" w:rsidP="009D647C">
            <w:pPr>
              <w:pStyle w:val="ListParagraph"/>
              <w:spacing w:after="160" w:line="259" w:lineRule="auto"/>
            </w:pPr>
            <w:r>
              <w:t>Rank based largely absolute productivity</w:t>
            </w:r>
          </w:p>
        </w:tc>
        <w:tc>
          <w:tcPr>
            <w:tcW w:w="1260" w:type="dxa"/>
          </w:tcPr>
          <w:p w14:paraId="28F6F982" w14:textId="77777777" w:rsidR="00CF3F5E" w:rsidRDefault="00CF3F5E" w:rsidP="009D647C">
            <w:pPr>
              <w:spacing w:after="160" w:line="259" w:lineRule="auto"/>
              <w:ind w:left="360"/>
            </w:pPr>
            <w:r>
              <w:t># of students</w:t>
            </w:r>
          </w:p>
        </w:tc>
        <w:tc>
          <w:tcPr>
            <w:tcW w:w="2340" w:type="dxa"/>
          </w:tcPr>
          <w:p w14:paraId="25CECABE" w14:textId="77777777" w:rsidR="00CF3F5E" w:rsidRDefault="00CF3F5E" w:rsidP="009D647C">
            <w:pPr>
              <w:spacing w:after="160" w:line="259" w:lineRule="auto"/>
              <w:ind w:left="360"/>
            </w:pPr>
            <w:r>
              <w:t xml:space="preserve">Rank based solely on size of student population </w:t>
            </w:r>
          </w:p>
        </w:tc>
      </w:tr>
      <w:tr w:rsidR="00CF3F5E" w:rsidRPr="00C32307" w14:paraId="6E57DCE6" w14:textId="77777777" w:rsidTr="009D647C">
        <w:tc>
          <w:tcPr>
            <w:tcW w:w="3325" w:type="dxa"/>
          </w:tcPr>
          <w:p w14:paraId="28887A3D" w14:textId="77777777" w:rsidR="00CF3F5E" w:rsidRPr="00C32307" w:rsidRDefault="00CF3F5E" w:rsidP="00CF3F5E">
            <w:pPr>
              <w:pStyle w:val="ListParagraph"/>
              <w:numPr>
                <w:ilvl w:val="0"/>
                <w:numId w:val="27"/>
              </w:numPr>
              <w:spacing w:after="160" w:line="259" w:lineRule="auto"/>
            </w:pPr>
            <w:r w:rsidRPr="00C32307">
              <w:t xml:space="preserve">San Diego State: </w:t>
            </w:r>
            <w:proofErr w:type="gramStart"/>
            <w:r w:rsidRPr="00C32307">
              <w:t xml:space="preserve">125 </w:t>
            </w:r>
            <w:r>
              <w:t xml:space="preserve"> </w:t>
            </w:r>
            <w:r w:rsidRPr="00FC11CE">
              <w:rPr>
                <w:highlight w:val="lightGray"/>
              </w:rPr>
              <w:t>R</w:t>
            </w:r>
            <w:proofErr w:type="gramEnd"/>
            <w:r w:rsidRPr="00FC11CE">
              <w:rPr>
                <w:highlight w:val="lightGray"/>
              </w:rPr>
              <w:t>2</w:t>
            </w:r>
            <w:r w:rsidRPr="00C32307">
              <w:t xml:space="preserve">      </w:t>
            </w:r>
          </w:p>
        </w:tc>
        <w:tc>
          <w:tcPr>
            <w:tcW w:w="1260" w:type="dxa"/>
          </w:tcPr>
          <w:p w14:paraId="16C647C3" w14:textId="77777777" w:rsidR="00CF3F5E" w:rsidRPr="00C32307" w:rsidRDefault="00CF3F5E" w:rsidP="009D647C">
            <w:pPr>
              <w:spacing w:after="160" w:line="259" w:lineRule="auto"/>
              <w:ind w:left="360"/>
            </w:pPr>
            <w:r>
              <w:t>35,732</w:t>
            </w:r>
          </w:p>
        </w:tc>
        <w:tc>
          <w:tcPr>
            <w:tcW w:w="2340" w:type="dxa"/>
          </w:tcPr>
          <w:p w14:paraId="4FBBAFE6" w14:textId="77777777" w:rsidR="00CF3F5E" w:rsidRPr="00C32307" w:rsidRDefault="00CF3F5E" w:rsidP="009D647C">
            <w:pPr>
              <w:spacing w:after="160" w:line="259" w:lineRule="auto"/>
              <w:ind w:left="360"/>
            </w:pPr>
            <w:r>
              <w:t>4</w:t>
            </w:r>
          </w:p>
        </w:tc>
      </w:tr>
      <w:tr w:rsidR="00CF3F5E" w:rsidRPr="00C32307" w14:paraId="0FD31B0A" w14:textId="77777777" w:rsidTr="009D647C">
        <w:tc>
          <w:tcPr>
            <w:tcW w:w="3325" w:type="dxa"/>
          </w:tcPr>
          <w:p w14:paraId="3BC2554C" w14:textId="77777777" w:rsidR="00CF3F5E" w:rsidRPr="00C32307" w:rsidRDefault="00CF3F5E" w:rsidP="00CF3F5E">
            <w:pPr>
              <w:pStyle w:val="ListParagraph"/>
              <w:numPr>
                <w:ilvl w:val="0"/>
                <w:numId w:val="27"/>
              </w:numPr>
              <w:spacing w:after="160" w:line="259" w:lineRule="auto"/>
            </w:pPr>
            <w:r w:rsidRPr="00C32307">
              <w:t>Bakersfield: 151</w:t>
            </w:r>
          </w:p>
        </w:tc>
        <w:tc>
          <w:tcPr>
            <w:tcW w:w="1260" w:type="dxa"/>
          </w:tcPr>
          <w:p w14:paraId="294F1443" w14:textId="77777777" w:rsidR="00CF3F5E" w:rsidRPr="00C32307" w:rsidRDefault="00CF3F5E" w:rsidP="009D647C">
            <w:pPr>
              <w:spacing w:after="160" w:line="259" w:lineRule="auto"/>
              <w:ind w:left="360"/>
            </w:pPr>
            <w:r>
              <w:t>10,624</w:t>
            </w:r>
          </w:p>
        </w:tc>
        <w:tc>
          <w:tcPr>
            <w:tcW w:w="2340" w:type="dxa"/>
          </w:tcPr>
          <w:p w14:paraId="59C90509" w14:textId="77777777" w:rsidR="00CF3F5E" w:rsidRDefault="00CF3F5E" w:rsidP="009D647C">
            <w:pPr>
              <w:spacing w:after="160" w:line="259" w:lineRule="auto"/>
              <w:ind w:left="360"/>
            </w:pPr>
            <w:r>
              <w:t>17</w:t>
            </w:r>
          </w:p>
        </w:tc>
      </w:tr>
      <w:tr w:rsidR="00CF3F5E" w:rsidRPr="00C32307" w14:paraId="10035C9F" w14:textId="77777777" w:rsidTr="009D647C">
        <w:tc>
          <w:tcPr>
            <w:tcW w:w="3325" w:type="dxa"/>
          </w:tcPr>
          <w:p w14:paraId="30C11045" w14:textId="77777777" w:rsidR="00CF3F5E" w:rsidRPr="00C32307" w:rsidRDefault="00CF3F5E" w:rsidP="00CF3F5E">
            <w:pPr>
              <w:pStyle w:val="ListParagraph"/>
              <w:numPr>
                <w:ilvl w:val="0"/>
                <w:numId w:val="27"/>
              </w:numPr>
              <w:spacing w:after="160" w:line="259" w:lineRule="auto"/>
            </w:pPr>
            <w:r w:rsidRPr="00C32307">
              <w:t xml:space="preserve">SF State: </w:t>
            </w:r>
            <w:proofErr w:type="gramStart"/>
            <w:r w:rsidRPr="00C32307">
              <w:t>175</w:t>
            </w:r>
            <w:r>
              <w:t xml:space="preserve">  </w:t>
            </w:r>
            <w:r w:rsidRPr="00FC11CE">
              <w:rPr>
                <w:highlight w:val="lightGray"/>
              </w:rPr>
              <w:t>R</w:t>
            </w:r>
            <w:proofErr w:type="gramEnd"/>
            <w:r w:rsidRPr="00FC11CE">
              <w:rPr>
                <w:highlight w:val="lightGray"/>
              </w:rPr>
              <w:t>2</w:t>
            </w:r>
          </w:p>
        </w:tc>
        <w:tc>
          <w:tcPr>
            <w:tcW w:w="1260" w:type="dxa"/>
          </w:tcPr>
          <w:p w14:paraId="799A0566" w14:textId="77777777" w:rsidR="00CF3F5E" w:rsidRPr="00C32307" w:rsidRDefault="00CF3F5E" w:rsidP="009D647C">
            <w:pPr>
              <w:spacing w:after="160" w:line="259" w:lineRule="auto"/>
              <w:ind w:left="360"/>
            </w:pPr>
            <w:r>
              <w:t>26,620</w:t>
            </w:r>
          </w:p>
        </w:tc>
        <w:tc>
          <w:tcPr>
            <w:tcW w:w="2340" w:type="dxa"/>
          </w:tcPr>
          <w:p w14:paraId="24CE0E32" w14:textId="77777777" w:rsidR="00CF3F5E" w:rsidRPr="00C32307" w:rsidRDefault="00CF3F5E" w:rsidP="009D647C">
            <w:pPr>
              <w:spacing w:after="160" w:line="259" w:lineRule="auto"/>
              <w:ind w:left="360"/>
            </w:pPr>
            <w:r>
              <w:t>9</w:t>
            </w:r>
          </w:p>
        </w:tc>
      </w:tr>
      <w:tr w:rsidR="00CF3F5E" w:rsidRPr="00C32307" w14:paraId="6B4336C7" w14:textId="77777777" w:rsidTr="009D647C">
        <w:tc>
          <w:tcPr>
            <w:tcW w:w="3325" w:type="dxa"/>
          </w:tcPr>
          <w:p w14:paraId="6C050C09" w14:textId="77777777" w:rsidR="00CF3F5E" w:rsidRPr="00C32307" w:rsidRDefault="00CF3F5E" w:rsidP="00CF3F5E">
            <w:pPr>
              <w:pStyle w:val="ListParagraph"/>
              <w:numPr>
                <w:ilvl w:val="0"/>
                <w:numId w:val="27"/>
              </w:numPr>
              <w:spacing w:after="160" w:line="259" w:lineRule="auto"/>
              <w:rPr>
                <w:u w:val="single"/>
              </w:rPr>
            </w:pPr>
            <w:r w:rsidRPr="00C32307">
              <w:t>Sonoma: 182</w:t>
            </w:r>
          </w:p>
        </w:tc>
        <w:tc>
          <w:tcPr>
            <w:tcW w:w="1260" w:type="dxa"/>
          </w:tcPr>
          <w:p w14:paraId="18ABB207" w14:textId="77777777" w:rsidR="00CF3F5E" w:rsidRPr="00C32307" w:rsidRDefault="00CF3F5E" w:rsidP="009D647C">
            <w:pPr>
              <w:spacing w:after="160" w:line="259" w:lineRule="auto"/>
              <w:ind w:left="360"/>
            </w:pPr>
            <w:r>
              <w:t>7,182</w:t>
            </w:r>
          </w:p>
        </w:tc>
        <w:tc>
          <w:tcPr>
            <w:tcW w:w="2340" w:type="dxa"/>
          </w:tcPr>
          <w:p w14:paraId="0DD97AA8" w14:textId="77777777" w:rsidR="00CF3F5E" w:rsidRPr="00C32307" w:rsidRDefault="00CF3F5E" w:rsidP="009D647C">
            <w:pPr>
              <w:spacing w:after="160" w:line="259" w:lineRule="auto"/>
              <w:ind w:left="360"/>
            </w:pPr>
            <w:r>
              <w:t>19</w:t>
            </w:r>
          </w:p>
        </w:tc>
      </w:tr>
      <w:tr w:rsidR="00CF3F5E" w:rsidRPr="00C32307" w14:paraId="64D936E7" w14:textId="77777777" w:rsidTr="009D647C">
        <w:tc>
          <w:tcPr>
            <w:tcW w:w="3325" w:type="dxa"/>
          </w:tcPr>
          <w:p w14:paraId="0C994F88" w14:textId="77777777" w:rsidR="00CF3F5E" w:rsidRPr="00C32307" w:rsidRDefault="00CF3F5E" w:rsidP="00CF3F5E">
            <w:pPr>
              <w:pStyle w:val="ListParagraph"/>
              <w:numPr>
                <w:ilvl w:val="0"/>
                <w:numId w:val="27"/>
              </w:numPr>
              <w:spacing w:after="160" w:line="259" w:lineRule="auto"/>
            </w:pPr>
            <w:r w:rsidRPr="00C32307">
              <w:t>Long Beach: 186</w:t>
            </w:r>
          </w:p>
        </w:tc>
        <w:tc>
          <w:tcPr>
            <w:tcW w:w="1260" w:type="dxa"/>
          </w:tcPr>
          <w:p w14:paraId="708CC2C9" w14:textId="77777777" w:rsidR="00CF3F5E" w:rsidRPr="00C32307" w:rsidRDefault="00CF3F5E" w:rsidP="009D647C">
            <w:pPr>
              <w:spacing w:after="160" w:line="259" w:lineRule="auto"/>
              <w:ind w:left="360"/>
            </w:pPr>
            <w:r>
              <w:t>39,434</w:t>
            </w:r>
          </w:p>
        </w:tc>
        <w:tc>
          <w:tcPr>
            <w:tcW w:w="2340" w:type="dxa"/>
          </w:tcPr>
          <w:p w14:paraId="63198391" w14:textId="77777777" w:rsidR="00CF3F5E" w:rsidRPr="00C32307" w:rsidRDefault="00CF3F5E" w:rsidP="009D647C">
            <w:pPr>
              <w:spacing w:after="160" w:line="259" w:lineRule="auto"/>
              <w:ind w:left="360"/>
            </w:pPr>
            <w:r>
              <w:t>2</w:t>
            </w:r>
          </w:p>
        </w:tc>
      </w:tr>
      <w:tr w:rsidR="00CF3F5E" w:rsidRPr="00C32307" w14:paraId="5825B16C" w14:textId="77777777" w:rsidTr="009D647C">
        <w:tc>
          <w:tcPr>
            <w:tcW w:w="3325" w:type="dxa"/>
          </w:tcPr>
          <w:p w14:paraId="7C1C24F7" w14:textId="77777777" w:rsidR="00CF3F5E" w:rsidRPr="00C32307" w:rsidRDefault="00CF3F5E" w:rsidP="00CF3F5E">
            <w:pPr>
              <w:pStyle w:val="ListParagraph"/>
              <w:numPr>
                <w:ilvl w:val="0"/>
                <w:numId w:val="27"/>
              </w:numPr>
              <w:spacing w:after="160" w:line="259" w:lineRule="auto"/>
            </w:pPr>
            <w:r w:rsidRPr="00C32307">
              <w:t>Northridge: 188</w:t>
            </w:r>
          </w:p>
        </w:tc>
        <w:tc>
          <w:tcPr>
            <w:tcW w:w="1260" w:type="dxa"/>
          </w:tcPr>
          <w:p w14:paraId="5EC30AE5" w14:textId="77777777" w:rsidR="00CF3F5E" w:rsidRPr="00C32307" w:rsidRDefault="00CF3F5E" w:rsidP="009D647C">
            <w:pPr>
              <w:spacing w:after="160" w:line="259" w:lineRule="auto"/>
              <w:ind w:left="360"/>
            </w:pPr>
            <w:r>
              <w:t>38,551</w:t>
            </w:r>
          </w:p>
        </w:tc>
        <w:tc>
          <w:tcPr>
            <w:tcW w:w="2340" w:type="dxa"/>
          </w:tcPr>
          <w:p w14:paraId="7B85D412" w14:textId="77777777" w:rsidR="00CF3F5E" w:rsidRPr="00C32307" w:rsidRDefault="00CF3F5E" w:rsidP="009D647C">
            <w:pPr>
              <w:spacing w:after="160" w:line="259" w:lineRule="auto"/>
              <w:ind w:left="360"/>
            </w:pPr>
            <w:r>
              <w:t>3</w:t>
            </w:r>
          </w:p>
        </w:tc>
      </w:tr>
      <w:tr w:rsidR="00CF3F5E" w:rsidRPr="00C32307" w14:paraId="73C9369D" w14:textId="77777777" w:rsidTr="009D647C">
        <w:tc>
          <w:tcPr>
            <w:tcW w:w="3325" w:type="dxa"/>
          </w:tcPr>
          <w:p w14:paraId="391451E1" w14:textId="77777777" w:rsidR="00CF3F5E" w:rsidRPr="00C32307" w:rsidRDefault="00CF3F5E" w:rsidP="00CF3F5E">
            <w:pPr>
              <w:pStyle w:val="ListParagraph"/>
              <w:numPr>
                <w:ilvl w:val="0"/>
                <w:numId w:val="27"/>
              </w:numPr>
              <w:spacing w:after="160" w:line="259" w:lineRule="auto"/>
            </w:pPr>
            <w:r w:rsidRPr="00C32307">
              <w:t>San Luis Obispo: 188</w:t>
            </w:r>
          </w:p>
        </w:tc>
        <w:tc>
          <w:tcPr>
            <w:tcW w:w="1260" w:type="dxa"/>
          </w:tcPr>
          <w:p w14:paraId="5B95EFD1" w14:textId="77777777" w:rsidR="00CF3F5E" w:rsidRPr="00C32307" w:rsidRDefault="00CF3F5E" w:rsidP="009D647C">
            <w:pPr>
              <w:spacing w:after="160" w:line="259" w:lineRule="auto"/>
              <w:ind w:left="360"/>
            </w:pPr>
            <w:r>
              <w:t>22,028</w:t>
            </w:r>
          </w:p>
        </w:tc>
        <w:tc>
          <w:tcPr>
            <w:tcW w:w="2340" w:type="dxa"/>
          </w:tcPr>
          <w:p w14:paraId="221DFEEB" w14:textId="77777777" w:rsidR="00CF3F5E" w:rsidRPr="00C32307" w:rsidRDefault="00CF3F5E" w:rsidP="009D647C">
            <w:pPr>
              <w:spacing w:after="160" w:line="259" w:lineRule="auto"/>
              <w:ind w:left="360"/>
            </w:pPr>
            <w:r>
              <w:t>11</w:t>
            </w:r>
          </w:p>
        </w:tc>
      </w:tr>
      <w:tr w:rsidR="00CF3F5E" w:rsidRPr="00C32307" w14:paraId="6683B029" w14:textId="77777777" w:rsidTr="009D647C">
        <w:tc>
          <w:tcPr>
            <w:tcW w:w="3325" w:type="dxa"/>
          </w:tcPr>
          <w:p w14:paraId="09411C8D" w14:textId="77777777" w:rsidR="00CF3F5E" w:rsidRPr="00C32307" w:rsidRDefault="00CF3F5E" w:rsidP="00CF3F5E">
            <w:pPr>
              <w:pStyle w:val="ListParagraph"/>
              <w:numPr>
                <w:ilvl w:val="0"/>
                <w:numId w:val="27"/>
              </w:numPr>
              <w:spacing w:after="160" w:line="259" w:lineRule="auto"/>
            </w:pPr>
            <w:r w:rsidRPr="00C32307">
              <w:t xml:space="preserve">San Jose: </w:t>
            </w:r>
            <w:proofErr w:type="gramStart"/>
            <w:r w:rsidRPr="00C32307">
              <w:t>190</w:t>
            </w:r>
            <w:r>
              <w:t xml:space="preserve">  </w:t>
            </w:r>
            <w:r w:rsidRPr="00FC11CE">
              <w:rPr>
                <w:highlight w:val="lightGray"/>
              </w:rPr>
              <w:t>R</w:t>
            </w:r>
            <w:proofErr w:type="gramEnd"/>
            <w:r w:rsidRPr="00FC11CE">
              <w:rPr>
                <w:highlight w:val="lightGray"/>
              </w:rPr>
              <w:t>2</w:t>
            </w:r>
          </w:p>
        </w:tc>
        <w:tc>
          <w:tcPr>
            <w:tcW w:w="1260" w:type="dxa"/>
          </w:tcPr>
          <w:p w14:paraId="21F0F5E9" w14:textId="77777777" w:rsidR="00CF3F5E" w:rsidRPr="00C32307" w:rsidRDefault="00CF3F5E" w:rsidP="009D647C">
            <w:pPr>
              <w:spacing w:after="160" w:line="259" w:lineRule="auto"/>
              <w:ind w:left="360"/>
            </w:pPr>
            <w:r>
              <w:t>33,848</w:t>
            </w:r>
          </w:p>
        </w:tc>
        <w:tc>
          <w:tcPr>
            <w:tcW w:w="2340" w:type="dxa"/>
          </w:tcPr>
          <w:p w14:paraId="3416B753" w14:textId="77777777" w:rsidR="00CF3F5E" w:rsidRPr="00C32307" w:rsidRDefault="00CF3F5E" w:rsidP="009D647C">
            <w:pPr>
              <w:spacing w:after="160" w:line="259" w:lineRule="auto"/>
              <w:ind w:left="360"/>
            </w:pPr>
            <w:r>
              <w:t>5</w:t>
            </w:r>
          </w:p>
        </w:tc>
      </w:tr>
      <w:tr w:rsidR="00CF3F5E" w:rsidRPr="00C32307" w14:paraId="1240737D" w14:textId="77777777" w:rsidTr="009D647C">
        <w:tc>
          <w:tcPr>
            <w:tcW w:w="3325" w:type="dxa"/>
          </w:tcPr>
          <w:p w14:paraId="6509F9E5" w14:textId="77777777" w:rsidR="00CF3F5E" w:rsidRPr="00C32307" w:rsidRDefault="00CF3F5E" w:rsidP="00CF3F5E">
            <w:pPr>
              <w:pStyle w:val="ListParagraph"/>
              <w:numPr>
                <w:ilvl w:val="0"/>
                <w:numId w:val="27"/>
              </w:numPr>
              <w:spacing w:after="160" w:line="259" w:lineRule="auto"/>
            </w:pPr>
            <w:r w:rsidRPr="00C32307">
              <w:t>Fullerton: 190</w:t>
            </w:r>
          </w:p>
        </w:tc>
        <w:tc>
          <w:tcPr>
            <w:tcW w:w="1260" w:type="dxa"/>
          </w:tcPr>
          <w:p w14:paraId="4AC4C0B3" w14:textId="77777777" w:rsidR="00CF3F5E" w:rsidRPr="00C32307" w:rsidRDefault="00CF3F5E" w:rsidP="009D647C">
            <w:pPr>
              <w:spacing w:after="160" w:line="259" w:lineRule="auto"/>
              <w:ind w:left="360"/>
            </w:pPr>
            <w:r>
              <w:t>40,087</w:t>
            </w:r>
          </w:p>
        </w:tc>
        <w:tc>
          <w:tcPr>
            <w:tcW w:w="2340" w:type="dxa"/>
          </w:tcPr>
          <w:p w14:paraId="79216C30" w14:textId="77777777" w:rsidR="00CF3F5E" w:rsidRPr="00C32307" w:rsidRDefault="00CF3F5E" w:rsidP="009D647C">
            <w:pPr>
              <w:spacing w:after="160" w:line="259" w:lineRule="auto"/>
              <w:ind w:left="360"/>
            </w:pPr>
            <w:r>
              <w:t>1</w:t>
            </w:r>
          </w:p>
        </w:tc>
      </w:tr>
      <w:tr w:rsidR="00CF3F5E" w:rsidRPr="00C32307" w14:paraId="61D8BC92" w14:textId="77777777" w:rsidTr="009D647C">
        <w:tc>
          <w:tcPr>
            <w:tcW w:w="3325" w:type="dxa"/>
          </w:tcPr>
          <w:p w14:paraId="4D9B343D" w14:textId="77777777" w:rsidR="00CF3F5E" w:rsidRPr="00C32307" w:rsidRDefault="00CF3F5E" w:rsidP="00CF3F5E">
            <w:pPr>
              <w:pStyle w:val="ListParagraph"/>
              <w:numPr>
                <w:ilvl w:val="0"/>
                <w:numId w:val="27"/>
              </w:numPr>
              <w:spacing w:after="160" w:line="259" w:lineRule="auto"/>
            </w:pPr>
            <w:r w:rsidRPr="00C32307">
              <w:t>San Marcos: 190</w:t>
            </w:r>
          </w:p>
        </w:tc>
        <w:tc>
          <w:tcPr>
            <w:tcW w:w="1260" w:type="dxa"/>
          </w:tcPr>
          <w:p w14:paraId="562FD9FB" w14:textId="77777777" w:rsidR="00CF3F5E" w:rsidRPr="00C32307" w:rsidRDefault="00CF3F5E" w:rsidP="009D647C">
            <w:pPr>
              <w:spacing w:after="160" w:line="259" w:lineRule="auto"/>
              <w:ind w:left="360"/>
            </w:pPr>
            <w:r>
              <w:t>14,503</w:t>
            </w:r>
          </w:p>
        </w:tc>
        <w:tc>
          <w:tcPr>
            <w:tcW w:w="2340" w:type="dxa"/>
          </w:tcPr>
          <w:p w14:paraId="04CA5983" w14:textId="77777777" w:rsidR="00CF3F5E" w:rsidRPr="00C32307" w:rsidRDefault="00CF3F5E" w:rsidP="009D647C">
            <w:pPr>
              <w:spacing w:after="160" w:line="259" w:lineRule="auto"/>
              <w:ind w:left="360"/>
            </w:pPr>
            <w:r>
              <w:t>15</w:t>
            </w:r>
          </w:p>
        </w:tc>
      </w:tr>
      <w:tr w:rsidR="00CF3F5E" w:rsidRPr="00C32307" w14:paraId="7673C9B7" w14:textId="77777777" w:rsidTr="009D647C">
        <w:tc>
          <w:tcPr>
            <w:tcW w:w="3325" w:type="dxa"/>
          </w:tcPr>
          <w:p w14:paraId="52C71FE7" w14:textId="77777777" w:rsidR="00CF3F5E" w:rsidRPr="00C32307" w:rsidRDefault="00CF3F5E" w:rsidP="00CF3F5E">
            <w:pPr>
              <w:pStyle w:val="ListParagraph"/>
              <w:numPr>
                <w:ilvl w:val="0"/>
                <w:numId w:val="27"/>
              </w:numPr>
              <w:spacing w:after="160" w:line="259" w:lineRule="auto"/>
            </w:pPr>
            <w:r w:rsidRPr="00C32307">
              <w:t>Los Angeles: 193</w:t>
            </w:r>
          </w:p>
        </w:tc>
        <w:tc>
          <w:tcPr>
            <w:tcW w:w="1260" w:type="dxa"/>
          </w:tcPr>
          <w:p w14:paraId="3C1FCC37" w14:textId="77777777" w:rsidR="00CF3F5E" w:rsidRPr="00C32307" w:rsidRDefault="00CF3F5E" w:rsidP="009D647C">
            <w:pPr>
              <w:spacing w:after="160" w:line="259" w:lineRule="auto"/>
              <w:ind w:left="360"/>
            </w:pPr>
            <w:r>
              <w:t>27,029</w:t>
            </w:r>
          </w:p>
        </w:tc>
        <w:tc>
          <w:tcPr>
            <w:tcW w:w="2340" w:type="dxa"/>
          </w:tcPr>
          <w:p w14:paraId="2AEA3804" w14:textId="77777777" w:rsidR="00CF3F5E" w:rsidRPr="00C32307" w:rsidRDefault="00CF3F5E" w:rsidP="009D647C">
            <w:pPr>
              <w:spacing w:after="160" w:line="259" w:lineRule="auto"/>
              <w:ind w:left="360"/>
            </w:pPr>
            <w:r>
              <w:t>7</w:t>
            </w:r>
          </w:p>
        </w:tc>
      </w:tr>
      <w:tr w:rsidR="00CF3F5E" w:rsidRPr="00C32307" w14:paraId="659D3311" w14:textId="77777777" w:rsidTr="009D647C">
        <w:tc>
          <w:tcPr>
            <w:tcW w:w="3325" w:type="dxa"/>
          </w:tcPr>
          <w:p w14:paraId="530E70A2" w14:textId="77777777" w:rsidR="00CF3F5E" w:rsidRPr="00C32307" w:rsidRDefault="00CF3F5E" w:rsidP="00CF3F5E">
            <w:pPr>
              <w:pStyle w:val="ListParagraph"/>
              <w:numPr>
                <w:ilvl w:val="0"/>
                <w:numId w:val="27"/>
              </w:numPr>
              <w:spacing w:after="160" w:line="259" w:lineRule="auto"/>
            </w:pPr>
            <w:r w:rsidRPr="00C32307">
              <w:t xml:space="preserve">Fresno: </w:t>
            </w:r>
            <w:proofErr w:type="gramStart"/>
            <w:r w:rsidRPr="00C32307">
              <w:t>198</w:t>
            </w:r>
            <w:r>
              <w:t xml:space="preserve">  </w:t>
            </w:r>
            <w:r w:rsidRPr="00FC11CE">
              <w:rPr>
                <w:highlight w:val="lightGray"/>
              </w:rPr>
              <w:t>R</w:t>
            </w:r>
            <w:proofErr w:type="gramEnd"/>
            <w:r w:rsidRPr="00FC11CE">
              <w:rPr>
                <w:highlight w:val="lightGray"/>
              </w:rPr>
              <w:t>2</w:t>
            </w:r>
          </w:p>
        </w:tc>
        <w:tc>
          <w:tcPr>
            <w:tcW w:w="1260" w:type="dxa"/>
          </w:tcPr>
          <w:p w14:paraId="6C03DA21" w14:textId="77777777" w:rsidR="00CF3F5E" w:rsidRPr="00C32307" w:rsidRDefault="00CF3F5E" w:rsidP="009D647C">
            <w:pPr>
              <w:spacing w:after="160" w:line="259" w:lineRule="auto"/>
              <w:ind w:left="360"/>
            </w:pPr>
            <w:r>
              <w:t>24,946</w:t>
            </w:r>
          </w:p>
        </w:tc>
        <w:tc>
          <w:tcPr>
            <w:tcW w:w="2340" w:type="dxa"/>
          </w:tcPr>
          <w:p w14:paraId="6AD417AD" w14:textId="77777777" w:rsidR="00CF3F5E" w:rsidRPr="00C32307" w:rsidRDefault="00CF3F5E" w:rsidP="009D647C">
            <w:pPr>
              <w:spacing w:after="160" w:line="259" w:lineRule="auto"/>
              <w:ind w:left="360"/>
            </w:pPr>
            <w:r>
              <w:t>10</w:t>
            </w:r>
          </w:p>
        </w:tc>
      </w:tr>
      <w:tr w:rsidR="00CF3F5E" w:rsidRPr="00C32307" w14:paraId="613A1D32" w14:textId="77777777" w:rsidTr="009D647C">
        <w:tc>
          <w:tcPr>
            <w:tcW w:w="3325" w:type="dxa"/>
          </w:tcPr>
          <w:p w14:paraId="5ABD10AE" w14:textId="77777777" w:rsidR="00CF3F5E" w:rsidRPr="00C32307" w:rsidRDefault="00CF3F5E" w:rsidP="00CF3F5E">
            <w:pPr>
              <w:pStyle w:val="ListParagraph"/>
              <w:numPr>
                <w:ilvl w:val="0"/>
                <w:numId w:val="27"/>
              </w:numPr>
              <w:spacing w:after="160" w:line="259" w:lineRule="auto"/>
              <w:rPr>
                <w:u w:val="single"/>
              </w:rPr>
            </w:pPr>
            <w:r w:rsidRPr="00C32307">
              <w:t>Dominguez Hills: 205</w:t>
            </w:r>
          </w:p>
        </w:tc>
        <w:tc>
          <w:tcPr>
            <w:tcW w:w="1260" w:type="dxa"/>
          </w:tcPr>
          <w:p w14:paraId="2235C691" w14:textId="77777777" w:rsidR="00CF3F5E" w:rsidRPr="00C32307" w:rsidRDefault="00CF3F5E" w:rsidP="009D647C">
            <w:pPr>
              <w:spacing w:after="160" w:line="259" w:lineRule="auto"/>
              <w:ind w:left="360"/>
            </w:pPr>
            <w:r>
              <w:t>16,916</w:t>
            </w:r>
          </w:p>
        </w:tc>
        <w:tc>
          <w:tcPr>
            <w:tcW w:w="2340" w:type="dxa"/>
          </w:tcPr>
          <w:p w14:paraId="040F7CF9" w14:textId="77777777" w:rsidR="00CF3F5E" w:rsidRPr="00C32307" w:rsidRDefault="00CF3F5E" w:rsidP="009D647C">
            <w:pPr>
              <w:spacing w:after="160" w:line="259" w:lineRule="auto"/>
              <w:ind w:left="360"/>
            </w:pPr>
            <w:r>
              <w:t>13</w:t>
            </w:r>
          </w:p>
        </w:tc>
      </w:tr>
      <w:tr w:rsidR="00CF3F5E" w:rsidRPr="00C32307" w14:paraId="4FB96221" w14:textId="77777777" w:rsidTr="009D647C">
        <w:tc>
          <w:tcPr>
            <w:tcW w:w="3325" w:type="dxa"/>
          </w:tcPr>
          <w:p w14:paraId="0D7EDE9C" w14:textId="77777777" w:rsidR="00CF3F5E" w:rsidRPr="00C32307" w:rsidRDefault="00CF3F5E" w:rsidP="00CF3F5E">
            <w:pPr>
              <w:pStyle w:val="ListParagraph"/>
              <w:numPr>
                <w:ilvl w:val="0"/>
                <w:numId w:val="27"/>
              </w:numPr>
              <w:spacing w:after="160" w:line="259" w:lineRule="auto"/>
            </w:pPr>
            <w:r w:rsidRPr="00C32307">
              <w:t>East Bay: 206</w:t>
            </w:r>
            <w:r>
              <w:t xml:space="preserve">   </w:t>
            </w:r>
            <w:r w:rsidRPr="00FC11CE">
              <w:rPr>
                <w:highlight w:val="lightGray"/>
              </w:rPr>
              <w:t>R2</w:t>
            </w:r>
          </w:p>
        </w:tc>
        <w:tc>
          <w:tcPr>
            <w:tcW w:w="1260" w:type="dxa"/>
          </w:tcPr>
          <w:p w14:paraId="572EB92C" w14:textId="77777777" w:rsidR="00CF3F5E" w:rsidRPr="00C32307" w:rsidRDefault="00CF3F5E" w:rsidP="009D647C">
            <w:pPr>
              <w:spacing w:after="160" w:line="259" w:lineRule="auto"/>
              <w:ind w:left="360"/>
            </w:pPr>
            <w:r>
              <w:t>13,499</w:t>
            </w:r>
          </w:p>
        </w:tc>
        <w:tc>
          <w:tcPr>
            <w:tcW w:w="2340" w:type="dxa"/>
          </w:tcPr>
          <w:p w14:paraId="3682B729" w14:textId="77777777" w:rsidR="00CF3F5E" w:rsidRPr="00C32307" w:rsidRDefault="00CF3F5E" w:rsidP="009D647C">
            <w:pPr>
              <w:spacing w:after="160" w:line="259" w:lineRule="auto"/>
              <w:ind w:left="360"/>
            </w:pPr>
            <w:r>
              <w:t>16</w:t>
            </w:r>
          </w:p>
        </w:tc>
      </w:tr>
      <w:tr w:rsidR="00CF3F5E" w:rsidRPr="00C32307" w14:paraId="645253F2" w14:textId="77777777" w:rsidTr="009D647C">
        <w:tc>
          <w:tcPr>
            <w:tcW w:w="3325" w:type="dxa"/>
          </w:tcPr>
          <w:p w14:paraId="15F67BB6" w14:textId="77777777" w:rsidR="00CF3F5E" w:rsidRPr="00C32307" w:rsidRDefault="00CF3F5E" w:rsidP="00CF3F5E">
            <w:pPr>
              <w:pStyle w:val="ListParagraph"/>
              <w:numPr>
                <w:ilvl w:val="0"/>
                <w:numId w:val="27"/>
              </w:numPr>
              <w:spacing w:after="160" w:line="259" w:lineRule="auto"/>
            </w:pPr>
            <w:r w:rsidRPr="00C32307">
              <w:t>Sacramento: 207</w:t>
            </w:r>
          </w:p>
        </w:tc>
        <w:tc>
          <w:tcPr>
            <w:tcW w:w="1260" w:type="dxa"/>
          </w:tcPr>
          <w:p w14:paraId="2BF4A1ED" w14:textId="77777777" w:rsidR="00CF3F5E" w:rsidRPr="00C32307" w:rsidRDefault="00CF3F5E" w:rsidP="009D647C">
            <w:pPr>
              <w:spacing w:after="160" w:line="259" w:lineRule="auto"/>
              <w:ind w:left="360"/>
            </w:pPr>
            <w:r>
              <w:t>31,573</w:t>
            </w:r>
          </w:p>
        </w:tc>
        <w:tc>
          <w:tcPr>
            <w:tcW w:w="2340" w:type="dxa"/>
          </w:tcPr>
          <w:p w14:paraId="62F4CC66" w14:textId="77777777" w:rsidR="00CF3F5E" w:rsidRPr="00C32307" w:rsidRDefault="00CF3F5E" w:rsidP="009D647C">
            <w:pPr>
              <w:spacing w:after="160" w:line="259" w:lineRule="auto"/>
              <w:ind w:left="360"/>
            </w:pPr>
            <w:r>
              <w:t>6</w:t>
            </w:r>
          </w:p>
        </w:tc>
      </w:tr>
      <w:tr w:rsidR="00CF3F5E" w:rsidRPr="00C32307" w14:paraId="2C743158" w14:textId="77777777" w:rsidTr="009D647C">
        <w:tc>
          <w:tcPr>
            <w:tcW w:w="3325" w:type="dxa"/>
          </w:tcPr>
          <w:p w14:paraId="456B6486" w14:textId="77777777" w:rsidR="00CF3F5E" w:rsidRPr="00C32307" w:rsidRDefault="00CF3F5E" w:rsidP="00CF3F5E">
            <w:pPr>
              <w:pStyle w:val="ListParagraph"/>
              <w:numPr>
                <w:ilvl w:val="0"/>
                <w:numId w:val="27"/>
              </w:numPr>
              <w:spacing w:after="160" w:line="259" w:lineRule="auto"/>
              <w:rPr>
                <w:b/>
                <w:bCs/>
                <w:u w:val="single"/>
              </w:rPr>
            </w:pPr>
            <w:r w:rsidRPr="00C32307">
              <w:rPr>
                <w:b/>
                <w:bCs/>
                <w:u w:val="single"/>
              </w:rPr>
              <w:t xml:space="preserve">San Bernardino: </w:t>
            </w:r>
            <w:proofErr w:type="gramStart"/>
            <w:r w:rsidRPr="00C32307">
              <w:rPr>
                <w:b/>
                <w:bCs/>
                <w:u w:val="single"/>
              </w:rPr>
              <w:t>210</w:t>
            </w:r>
            <w:r w:rsidRPr="00FC11CE">
              <w:t xml:space="preserve">  R</w:t>
            </w:r>
            <w:proofErr w:type="gramEnd"/>
            <w:r w:rsidRPr="00FC11CE">
              <w:t>2</w:t>
            </w:r>
          </w:p>
        </w:tc>
        <w:tc>
          <w:tcPr>
            <w:tcW w:w="1260" w:type="dxa"/>
          </w:tcPr>
          <w:p w14:paraId="43FC3AF3" w14:textId="77777777" w:rsidR="00CF3F5E" w:rsidRPr="00C32307" w:rsidRDefault="00CF3F5E" w:rsidP="009D647C">
            <w:pPr>
              <w:spacing w:after="160" w:line="259" w:lineRule="auto"/>
              <w:ind w:left="360"/>
              <w:rPr>
                <w:b/>
                <w:bCs/>
                <w:u w:val="single"/>
              </w:rPr>
            </w:pPr>
            <w:r>
              <w:t>19,182</w:t>
            </w:r>
          </w:p>
        </w:tc>
        <w:tc>
          <w:tcPr>
            <w:tcW w:w="2340" w:type="dxa"/>
          </w:tcPr>
          <w:p w14:paraId="3E6E670D" w14:textId="77777777" w:rsidR="00CF3F5E" w:rsidRPr="00C32307" w:rsidRDefault="00CF3F5E" w:rsidP="009D647C">
            <w:pPr>
              <w:spacing w:after="160" w:line="259" w:lineRule="auto"/>
              <w:ind w:left="360"/>
              <w:rPr>
                <w:b/>
                <w:bCs/>
                <w:u w:val="single"/>
              </w:rPr>
            </w:pPr>
            <w:r>
              <w:rPr>
                <w:b/>
                <w:bCs/>
                <w:u w:val="single"/>
              </w:rPr>
              <w:t>12</w:t>
            </w:r>
          </w:p>
        </w:tc>
      </w:tr>
      <w:tr w:rsidR="00CF3F5E" w:rsidRPr="00C32307" w14:paraId="416AD323" w14:textId="77777777" w:rsidTr="009D647C">
        <w:tc>
          <w:tcPr>
            <w:tcW w:w="3325" w:type="dxa"/>
          </w:tcPr>
          <w:p w14:paraId="0095CBB9" w14:textId="77777777" w:rsidR="00CF3F5E" w:rsidRPr="00C32307" w:rsidRDefault="00CF3F5E" w:rsidP="00CF3F5E">
            <w:pPr>
              <w:pStyle w:val="ListParagraph"/>
              <w:numPr>
                <w:ilvl w:val="0"/>
                <w:numId w:val="27"/>
              </w:numPr>
              <w:spacing w:after="160" w:line="259" w:lineRule="auto"/>
            </w:pPr>
            <w:r w:rsidRPr="00C32307">
              <w:t>Pomona: 212</w:t>
            </w:r>
            <w:r>
              <w:t xml:space="preserve">   </w:t>
            </w:r>
          </w:p>
        </w:tc>
        <w:tc>
          <w:tcPr>
            <w:tcW w:w="1260" w:type="dxa"/>
          </w:tcPr>
          <w:p w14:paraId="0DB52804" w14:textId="77777777" w:rsidR="00CF3F5E" w:rsidRPr="00C32307" w:rsidRDefault="00CF3F5E" w:rsidP="009D647C">
            <w:pPr>
              <w:spacing w:after="160" w:line="259" w:lineRule="auto"/>
              <w:ind w:left="360"/>
            </w:pPr>
            <w:r>
              <w:t>29,103</w:t>
            </w:r>
          </w:p>
        </w:tc>
        <w:tc>
          <w:tcPr>
            <w:tcW w:w="2340" w:type="dxa"/>
          </w:tcPr>
          <w:p w14:paraId="79CCD095" w14:textId="77777777" w:rsidR="00CF3F5E" w:rsidRPr="00C32307" w:rsidRDefault="00CF3F5E" w:rsidP="009D647C">
            <w:pPr>
              <w:spacing w:after="160" w:line="259" w:lineRule="auto"/>
              <w:ind w:left="360"/>
            </w:pPr>
            <w:r>
              <w:t>7</w:t>
            </w:r>
          </w:p>
        </w:tc>
      </w:tr>
      <w:tr w:rsidR="00CF3F5E" w:rsidRPr="00C32307" w14:paraId="080C0003" w14:textId="77777777" w:rsidTr="009D647C">
        <w:tc>
          <w:tcPr>
            <w:tcW w:w="3325" w:type="dxa"/>
          </w:tcPr>
          <w:p w14:paraId="3A32B045" w14:textId="77777777" w:rsidR="00CF3F5E" w:rsidRPr="00C32307" w:rsidRDefault="00CF3F5E" w:rsidP="00CF3F5E">
            <w:pPr>
              <w:pStyle w:val="ListParagraph"/>
              <w:numPr>
                <w:ilvl w:val="0"/>
                <w:numId w:val="27"/>
              </w:numPr>
              <w:spacing w:after="160" w:line="259" w:lineRule="auto"/>
              <w:rPr>
                <w:u w:val="single"/>
              </w:rPr>
            </w:pPr>
            <w:r w:rsidRPr="00C32307">
              <w:t>Chico: 219</w:t>
            </w:r>
          </w:p>
        </w:tc>
        <w:tc>
          <w:tcPr>
            <w:tcW w:w="1260" w:type="dxa"/>
          </w:tcPr>
          <w:p w14:paraId="45A116A4" w14:textId="77777777" w:rsidR="00CF3F5E" w:rsidRPr="00C32307" w:rsidRDefault="00CF3F5E" w:rsidP="009D647C">
            <w:pPr>
              <w:spacing w:after="160" w:line="259" w:lineRule="auto"/>
              <w:ind w:left="360"/>
            </w:pPr>
            <w:r>
              <w:t>15,421</w:t>
            </w:r>
          </w:p>
        </w:tc>
        <w:tc>
          <w:tcPr>
            <w:tcW w:w="2340" w:type="dxa"/>
          </w:tcPr>
          <w:p w14:paraId="4FEE67AC" w14:textId="77777777" w:rsidR="00CF3F5E" w:rsidRPr="00C32307" w:rsidRDefault="00CF3F5E" w:rsidP="009D647C">
            <w:pPr>
              <w:spacing w:after="160" w:line="259" w:lineRule="auto"/>
              <w:ind w:left="360"/>
            </w:pPr>
            <w:r>
              <w:t>14</w:t>
            </w:r>
          </w:p>
        </w:tc>
      </w:tr>
      <w:tr w:rsidR="00CF3F5E" w:rsidRPr="00C32307" w14:paraId="7DB8E9BD" w14:textId="77777777" w:rsidTr="009D647C">
        <w:tc>
          <w:tcPr>
            <w:tcW w:w="3325" w:type="dxa"/>
          </w:tcPr>
          <w:p w14:paraId="4F69345A" w14:textId="77777777" w:rsidR="00CF3F5E" w:rsidRPr="00C32307" w:rsidRDefault="00CF3F5E" w:rsidP="00CF3F5E">
            <w:pPr>
              <w:pStyle w:val="ListParagraph"/>
              <w:numPr>
                <w:ilvl w:val="0"/>
                <w:numId w:val="27"/>
              </w:numPr>
              <w:spacing w:after="160" w:line="259" w:lineRule="auto"/>
            </w:pPr>
            <w:r w:rsidRPr="00C32307">
              <w:lastRenderedPageBreak/>
              <w:t>Stanislaus: 222</w:t>
            </w:r>
          </w:p>
        </w:tc>
        <w:tc>
          <w:tcPr>
            <w:tcW w:w="1260" w:type="dxa"/>
          </w:tcPr>
          <w:p w14:paraId="120A428E" w14:textId="77777777" w:rsidR="00CF3F5E" w:rsidRPr="00C32307" w:rsidRDefault="00CF3F5E" w:rsidP="009D647C">
            <w:pPr>
              <w:spacing w:after="160" w:line="259" w:lineRule="auto"/>
              <w:ind w:left="360"/>
            </w:pPr>
            <w:r>
              <w:t>10,028</w:t>
            </w:r>
          </w:p>
        </w:tc>
        <w:tc>
          <w:tcPr>
            <w:tcW w:w="2340" w:type="dxa"/>
          </w:tcPr>
          <w:p w14:paraId="2EA7FD9B" w14:textId="77777777" w:rsidR="00CF3F5E" w:rsidRPr="00C32307" w:rsidRDefault="00CF3F5E" w:rsidP="009D647C">
            <w:pPr>
              <w:spacing w:after="160" w:line="259" w:lineRule="auto"/>
              <w:ind w:left="360"/>
            </w:pPr>
            <w:r>
              <w:t>18</w:t>
            </w:r>
          </w:p>
        </w:tc>
      </w:tr>
    </w:tbl>
    <w:p w14:paraId="39EBEDF9" w14:textId="77777777" w:rsidR="00CF3F5E" w:rsidRPr="000F56D9" w:rsidRDefault="00CF3F5E" w:rsidP="00E47202">
      <w:pPr>
        <w:ind w:left="360"/>
        <w:rPr>
          <w:b/>
          <w:bCs/>
        </w:rPr>
      </w:pPr>
      <w:r>
        <w:rPr>
          <w:b/>
          <w:bCs/>
        </w:rPr>
        <w:t>Unranked:  Channel Islands, Monterey Bay, Californian Maritime, Humboldt</w:t>
      </w:r>
    </w:p>
    <w:p w14:paraId="2B153C1B" w14:textId="77777777" w:rsidR="00CF3F5E" w:rsidRDefault="00CF3F5E" w:rsidP="00E47202">
      <w:pPr>
        <w:jc w:val="center"/>
        <w:rPr>
          <w:rFonts w:ascii="Calibri" w:hAnsi="Calibri" w:cs="Calibri"/>
          <w:b/>
          <w:color w:val="000000"/>
          <w:sz w:val="32"/>
          <w:szCs w:val="32"/>
          <w:shd w:val="clear" w:color="auto" w:fill="FFFFFF"/>
        </w:rPr>
      </w:pPr>
    </w:p>
    <w:p w14:paraId="68AF98B2" w14:textId="77777777" w:rsidR="00CF3F5E" w:rsidRPr="004618D9" w:rsidRDefault="00CF3F5E" w:rsidP="004618D9">
      <w:pPr>
        <w:jc w:val="center"/>
        <w:rPr>
          <w:rFonts w:ascii="Calibri" w:hAnsi="Calibri" w:cs="Calibri"/>
          <w:b/>
          <w:color w:val="000000"/>
          <w:sz w:val="24"/>
          <w:szCs w:val="24"/>
          <w:shd w:val="clear" w:color="auto" w:fill="FFFFFF"/>
        </w:rPr>
      </w:pPr>
      <w:r w:rsidRPr="004618D9">
        <w:rPr>
          <w:rFonts w:ascii="Calibri" w:hAnsi="Calibri" w:cs="Calibri"/>
          <w:b/>
          <w:color w:val="000000"/>
          <w:sz w:val="24"/>
          <w:szCs w:val="24"/>
          <w:shd w:val="clear" w:color="auto" w:fill="FFFFFF"/>
        </w:rPr>
        <w:t>Appendix B</w:t>
      </w:r>
    </w:p>
    <w:tbl>
      <w:tblPr>
        <w:tblStyle w:val="TableGrid"/>
        <w:tblW w:w="8563" w:type="dxa"/>
        <w:tblInd w:w="522" w:type="dxa"/>
        <w:tblLayout w:type="fixed"/>
        <w:tblLook w:val="04A0" w:firstRow="1" w:lastRow="0" w:firstColumn="1" w:lastColumn="0" w:noHBand="0" w:noVBand="1"/>
      </w:tblPr>
      <w:tblGrid>
        <w:gridCol w:w="733"/>
        <w:gridCol w:w="2250"/>
        <w:gridCol w:w="540"/>
        <w:gridCol w:w="900"/>
        <w:gridCol w:w="1902"/>
        <w:gridCol w:w="797"/>
        <w:gridCol w:w="1441"/>
      </w:tblGrid>
      <w:tr w:rsidR="00CF3F5E" w:rsidRPr="00EF134E" w14:paraId="1530D89F" w14:textId="77777777" w:rsidTr="009D647C">
        <w:tc>
          <w:tcPr>
            <w:tcW w:w="8563" w:type="dxa"/>
            <w:gridSpan w:val="7"/>
          </w:tcPr>
          <w:p w14:paraId="3381CA0B" w14:textId="77777777" w:rsidR="00CF3F5E" w:rsidRPr="00EF134E" w:rsidRDefault="00CF3F5E" w:rsidP="009D647C">
            <w:pPr>
              <w:rPr>
                <w:b/>
              </w:rPr>
            </w:pPr>
            <w:r>
              <w:rPr>
                <w:b/>
              </w:rPr>
              <w:t>Top scholars by Google Scholar (university total:  197,248 est., Dec. 2022)</w:t>
            </w:r>
          </w:p>
        </w:tc>
      </w:tr>
      <w:tr w:rsidR="00CF3F5E" w:rsidRPr="00EF134E" w14:paraId="391EB29F" w14:textId="77777777" w:rsidTr="009D647C">
        <w:tc>
          <w:tcPr>
            <w:tcW w:w="733" w:type="dxa"/>
          </w:tcPr>
          <w:p w14:paraId="0DF31053" w14:textId="77777777" w:rsidR="00CF3F5E" w:rsidRDefault="00CF3F5E" w:rsidP="009D647C">
            <w:pPr>
              <w:rPr>
                <w:b/>
              </w:rPr>
            </w:pPr>
          </w:p>
        </w:tc>
        <w:tc>
          <w:tcPr>
            <w:tcW w:w="2250" w:type="dxa"/>
          </w:tcPr>
          <w:p w14:paraId="40C5FB59" w14:textId="77777777" w:rsidR="00CF3F5E" w:rsidRPr="00EF134E" w:rsidRDefault="00CF3F5E" w:rsidP="009D647C">
            <w:pPr>
              <w:rPr>
                <w:b/>
              </w:rPr>
            </w:pPr>
            <w:r>
              <w:rPr>
                <w:b/>
              </w:rPr>
              <w:t>Above 2000 citations</w:t>
            </w:r>
          </w:p>
        </w:tc>
        <w:tc>
          <w:tcPr>
            <w:tcW w:w="540" w:type="dxa"/>
          </w:tcPr>
          <w:p w14:paraId="06484BD8" w14:textId="77777777" w:rsidR="00CF3F5E" w:rsidRPr="00EF134E" w:rsidRDefault="00CF3F5E" w:rsidP="009D647C">
            <w:pPr>
              <w:rPr>
                <w:b/>
              </w:rPr>
            </w:pPr>
            <w:r>
              <w:rPr>
                <w:b/>
              </w:rPr>
              <w:t>16</w:t>
            </w:r>
          </w:p>
        </w:tc>
        <w:tc>
          <w:tcPr>
            <w:tcW w:w="900" w:type="dxa"/>
          </w:tcPr>
          <w:p w14:paraId="1E924E06" w14:textId="77777777" w:rsidR="00CF3F5E" w:rsidRPr="00EF134E" w:rsidRDefault="00CF3F5E" w:rsidP="009D647C">
            <w:pPr>
              <w:rPr>
                <w:b/>
              </w:rPr>
            </w:pPr>
          </w:p>
        </w:tc>
        <w:tc>
          <w:tcPr>
            <w:tcW w:w="1902" w:type="dxa"/>
          </w:tcPr>
          <w:p w14:paraId="6DC80AA1" w14:textId="77777777" w:rsidR="00CF3F5E" w:rsidRPr="00EF134E" w:rsidRDefault="00CF3F5E" w:rsidP="009D647C">
            <w:pPr>
              <w:rPr>
                <w:b/>
              </w:rPr>
            </w:pPr>
          </w:p>
        </w:tc>
        <w:tc>
          <w:tcPr>
            <w:tcW w:w="797" w:type="dxa"/>
          </w:tcPr>
          <w:p w14:paraId="2E4CA326" w14:textId="77777777" w:rsidR="00CF3F5E" w:rsidRPr="00EF134E" w:rsidRDefault="00CF3F5E" w:rsidP="009D647C">
            <w:pPr>
              <w:rPr>
                <w:b/>
              </w:rPr>
            </w:pPr>
          </w:p>
        </w:tc>
        <w:tc>
          <w:tcPr>
            <w:tcW w:w="1441" w:type="dxa"/>
          </w:tcPr>
          <w:p w14:paraId="4D1BA891" w14:textId="77777777" w:rsidR="00CF3F5E" w:rsidRPr="00EF134E" w:rsidRDefault="00CF3F5E" w:rsidP="009D647C">
            <w:pPr>
              <w:rPr>
                <w:b/>
              </w:rPr>
            </w:pPr>
          </w:p>
        </w:tc>
      </w:tr>
      <w:tr w:rsidR="00CF3F5E" w:rsidRPr="00EF134E" w14:paraId="274B61E0" w14:textId="77777777" w:rsidTr="009D647C">
        <w:tc>
          <w:tcPr>
            <w:tcW w:w="733" w:type="dxa"/>
          </w:tcPr>
          <w:p w14:paraId="69B73F79" w14:textId="77777777" w:rsidR="00CF3F5E" w:rsidRDefault="00CF3F5E" w:rsidP="009D647C">
            <w:pPr>
              <w:rPr>
                <w:b/>
              </w:rPr>
            </w:pPr>
          </w:p>
        </w:tc>
        <w:tc>
          <w:tcPr>
            <w:tcW w:w="2250" w:type="dxa"/>
          </w:tcPr>
          <w:p w14:paraId="360AEA43" w14:textId="77777777" w:rsidR="00CF3F5E" w:rsidRPr="00EF134E" w:rsidRDefault="00CF3F5E" w:rsidP="009D647C">
            <w:pPr>
              <w:rPr>
                <w:b/>
              </w:rPr>
            </w:pPr>
            <w:r>
              <w:rPr>
                <w:b/>
              </w:rPr>
              <w:t>1000 to 1999 citations</w:t>
            </w:r>
          </w:p>
        </w:tc>
        <w:tc>
          <w:tcPr>
            <w:tcW w:w="540" w:type="dxa"/>
          </w:tcPr>
          <w:p w14:paraId="5BC9D5FE" w14:textId="77777777" w:rsidR="00CF3F5E" w:rsidRPr="00EF134E" w:rsidRDefault="00CF3F5E" w:rsidP="009D647C">
            <w:pPr>
              <w:rPr>
                <w:b/>
              </w:rPr>
            </w:pPr>
            <w:r>
              <w:rPr>
                <w:b/>
              </w:rPr>
              <w:t>29</w:t>
            </w:r>
          </w:p>
        </w:tc>
        <w:tc>
          <w:tcPr>
            <w:tcW w:w="900" w:type="dxa"/>
          </w:tcPr>
          <w:p w14:paraId="69236051" w14:textId="77777777" w:rsidR="00CF3F5E" w:rsidRPr="00EF134E" w:rsidRDefault="00CF3F5E" w:rsidP="009D647C">
            <w:pPr>
              <w:rPr>
                <w:b/>
              </w:rPr>
            </w:pPr>
          </w:p>
        </w:tc>
        <w:tc>
          <w:tcPr>
            <w:tcW w:w="1902" w:type="dxa"/>
          </w:tcPr>
          <w:p w14:paraId="0D32E49C" w14:textId="77777777" w:rsidR="00CF3F5E" w:rsidRPr="00EF134E" w:rsidRDefault="00CF3F5E" w:rsidP="009D647C">
            <w:pPr>
              <w:rPr>
                <w:b/>
              </w:rPr>
            </w:pPr>
          </w:p>
        </w:tc>
        <w:tc>
          <w:tcPr>
            <w:tcW w:w="797" w:type="dxa"/>
          </w:tcPr>
          <w:p w14:paraId="7478FEB3" w14:textId="77777777" w:rsidR="00CF3F5E" w:rsidRPr="00EF134E" w:rsidRDefault="00CF3F5E" w:rsidP="009D647C">
            <w:pPr>
              <w:rPr>
                <w:b/>
              </w:rPr>
            </w:pPr>
          </w:p>
        </w:tc>
        <w:tc>
          <w:tcPr>
            <w:tcW w:w="1441" w:type="dxa"/>
          </w:tcPr>
          <w:p w14:paraId="60D0048C" w14:textId="77777777" w:rsidR="00CF3F5E" w:rsidRPr="00EF134E" w:rsidRDefault="00CF3F5E" w:rsidP="009D647C">
            <w:pPr>
              <w:rPr>
                <w:b/>
              </w:rPr>
            </w:pPr>
          </w:p>
        </w:tc>
      </w:tr>
      <w:tr w:rsidR="00CF3F5E" w:rsidRPr="00EF134E" w14:paraId="16E32112" w14:textId="77777777" w:rsidTr="009D647C">
        <w:tc>
          <w:tcPr>
            <w:tcW w:w="733" w:type="dxa"/>
          </w:tcPr>
          <w:p w14:paraId="11F6A140" w14:textId="77777777" w:rsidR="00CF3F5E" w:rsidRDefault="00CF3F5E" w:rsidP="009D647C">
            <w:pPr>
              <w:rPr>
                <w:b/>
              </w:rPr>
            </w:pPr>
          </w:p>
        </w:tc>
        <w:tc>
          <w:tcPr>
            <w:tcW w:w="2250" w:type="dxa"/>
          </w:tcPr>
          <w:p w14:paraId="3D94C3AE" w14:textId="77777777" w:rsidR="00CF3F5E" w:rsidRPr="00EF134E" w:rsidRDefault="00CF3F5E" w:rsidP="009D647C">
            <w:pPr>
              <w:rPr>
                <w:b/>
              </w:rPr>
            </w:pPr>
            <w:r>
              <w:rPr>
                <w:b/>
              </w:rPr>
              <w:t>500 to 999 citations</w:t>
            </w:r>
          </w:p>
        </w:tc>
        <w:tc>
          <w:tcPr>
            <w:tcW w:w="540" w:type="dxa"/>
          </w:tcPr>
          <w:p w14:paraId="0F23C33B" w14:textId="77777777" w:rsidR="00CF3F5E" w:rsidRPr="00EF134E" w:rsidRDefault="00CF3F5E" w:rsidP="009D647C">
            <w:pPr>
              <w:rPr>
                <w:b/>
              </w:rPr>
            </w:pPr>
            <w:r>
              <w:rPr>
                <w:b/>
              </w:rPr>
              <w:t>46</w:t>
            </w:r>
          </w:p>
        </w:tc>
        <w:tc>
          <w:tcPr>
            <w:tcW w:w="900" w:type="dxa"/>
          </w:tcPr>
          <w:p w14:paraId="6A0559D1" w14:textId="77777777" w:rsidR="00CF3F5E" w:rsidRPr="00EF134E" w:rsidRDefault="00CF3F5E" w:rsidP="009D647C">
            <w:pPr>
              <w:rPr>
                <w:b/>
              </w:rPr>
            </w:pPr>
          </w:p>
        </w:tc>
        <w:tc>
          <w:tcPr>
            <w:tcW w:w="1902" w:type="dxa"/>
          </w:tcPr>
          <w:p w14:paraId="6A538748" w14:textId="77777777" w:rsidR="00CF3F5E" w:rsidRPr="00EF134E" w:rsidRDefault="00CF3F5E" w:rsidP="009D647C">
            <w:pPr>
              <w:rPr>
                <w:b/>
              </w:rPr>
            </w:pPr>
          </w:p>
        </w:tc>
        <w:tc>
          <w:tcPr>
            <w:tcW w:w="797" w:type="dxa"/>
          </w:tcPr>
          <w:p w14:paraId="2179C5A0" w14:textId="77777777" w:rsidR="00CF3F5E" w:rsidRPr="00EF134E" w:rsidRDefault="00CF3F5E" w:rsidP="009D647C">
            <w:pPr>
              <w:rPr>
                <w:b/>
              </w:rPr>
            </w:pPr>
          </w:p>
        </w:tc>
        <w:tc>
          <w:tcPr>
            <w:tcW w:w="1441" w:type="dxa"/>
          </w:tcPr>
          <w:p w14:paraId="579F5740" w14:textId="77777777" w:rsidR="00CF3F5E" w:rsidRPr="00EF134E" w:rsidRDefault="00CF3F5E" w:rsidP="009D647C">
            <w:pPr>
              <w:rPr>
                <w:b/>
              </w:rPr>
            </w:pPr>
          </w:p>
        </w:tc>
      </w:tr>
      <w:tr w:rsidR="00CF3F5E" w:rsidRPr="00EF134E" w14:paraId="1FE98A0A" w14:textId="77777777" w:rsidTr="009D647C">
        <w:tc>
          <w:tcPr>
            <w:tcW w:w="733" w:type="dxa"/>
          </w:tcPr>
          <w:p w14:paraId="22787BD1" w14:textId="77777777" w:rsidR="00CF3F5E" w:rsidRDefault="00CF3F5E" w:rsidP="009D647C">
            <w:pPr>
              <w:rPr>
                <w:b/>
              </w:rPr>
            </w:pPr>
          </w:p>
        </w:tc>
        <w:tc>
          <w:tcPr>
            <w:tcW w:w="2250" w:type="dxa"/>
          </w:tcPr>
          <w:p w14:paraId="0332D752" w14:textId="77777777" w:rsidR="00CF3F5E" w:rsidRPr="00EF134E" w:rsidRDefault="00CF3F5E" w:rsidP="009D647C">
            <w:pPr>
              <w:rPr>
                <w:b/>
              </w:rPr>
            </w:pPr>
            <w:r>
              <w:rPr>
                <w:b/>
              </w:rPr>
              <w:t>Total 500+ citations</w:t>
            </w:r>
          </w:p>
        </w:tc>
        <w:tc>
          <w:tcPr>
            <w:tcW w:w="540" w:type="dxa"/>
          </w:tcPr>
          <w:p w14:paraId="507B28D3" w14:textId="77777777" w:rsidR="00CF3F5E" w:rsidRPr="00EF134E" w:rsidRDefault="00CF3F5E" w:rsidP="009D647C">
            <w:pPr>
              <w:rPr>
                <w:b/>
              </w:rPr>
            </w:pPr>
            <w:r>
              <w:rPr>
                <w:b/>
              </w:rPr>
              <w:t>91</w:t>
            </w:r>
          </w:p>
        </w:tc>
        <w:tc>
          <w:tcPr>
            <w:tcW w:w="900" w:type="dxa"/>
          </w:tcPr>
          <w:p w14:paraId="1FD9FDCC" w14:textId="77777777" w:rsidR="00CF3F5E" w:rsidRPr="00EF134E" w:rsidRDefault="00CF3F5E" w:rsidP="009D647C">
            <w:pPr>
              <w:rPr>
                <w:b/>
              </w:rPr>
            </w:pPr>
            <w:r>
              <w:rPr>
                <w:b/>
              </w:rPr>
              <w:t>19% of faculty</w:t>
            </w:r>
          </w:p>
        </w:tc>
        <w:tc>
          <w:tcPr>
            <w:tcW w:w="4140" w:type="dxa"/>
            <w:gridSpan w:val="3"/>
          </w:tcPr>
          <w:p w14:paraId="08EA4F1C" w14:textId="77777777" w:rsidR="00CF3F5E" w:rsidRPr="00EF134E" w:rsidRDefault="00CF3F5E" w:rsidP="009D647C">
            <w:pPr>
              <w:rPr>
                <w:b/>
              </w:rPr>
            </w:pPr>
            <w:r>
              <w:rPr>
                <w:b/>
              </w:rPr>
              <w:t xml:space="preserve">Top faculty produced 152,069 citations or 77% of all citations. </w:t>
            </w:r>
          </w:p>
        </w:tc>
      </w:tr>
    </w:tbl>
    <w:p w14:paraId="5D616332" w14:textId="77777777" w:rsidR="00CF3F5E" w:rsidRDefault="00CF3F5E" w:rsidP="00436E5B">
      <w:pPr>
        <w:shd w:val="clear" w:color="auto" w:fill="FFFFFF"/>
        <w:spacing w:after="0" w:line="240" w:lineRule="auto"/>
        <w:rPr>
          <w:rFonts w:eastAsia="Times New Roman" w:cstheme="minorHAnsi"/>
          <w:b/>
          <w:bCs/>
          <w:sz w:val="24"/>
          <w:szCs w:val="24"/>
          <w:u w:val="single"/>
        </w:rPr>
      </w:pPr>
    </w:p>
    <w:p w14:paraId="7C274C87" w14:textId="77777777" w:rsidR="00CF3F5E" w:rsidRDefault="00CF3F5E" w:rsidP="00436E5B">
      <w:pPr>
        <w:shd w:val="clear" w:color="auto" w:fill="FFFFFF"/>
        <w:spacing w:after="0" w:line="240" w:lineRule="auto"/>
        <w:rPr>
          <w:rFonts w:eastAsia="Times New Roman" w:cstheme="minorHAnsi"/>
          <w:b/>
          <w:bCs/>
          <w:sz w:val="24"/>
          <w:szCs w:val="24"/>
          <w:u w:val="single"/>
        </w:rPr>
      </w:pPr>
    </w:p>
    <w:p w14:paraId="0AAFCF4E" w14:textId="77777777" w:rsidR="00CF3F5E" w:rsidRDefault="00CF3F5E" w:rsidP="004618D9">
      <w:pPr>
        <w:shd w:val="clear" w:color="auto" w:fill="FFFFFF"/>
        <w:spacing w:after="0" w:line="240" w:lineRule="auto"/>
        <w:jc w:val="center"/>
        <w:rPr>
          <w:rFonts w:eastAsia="Times New Roman" w:cstheme="minorHAnsi"/>
          <w:b/>
          <w:bCs/>
          <w:sz w:val="24"/>
          <w:szCs w:val="24"/>
        </w:rPr>
      </w:pPr>
      <w:r w:rsidRPr="004618D9">
        <w:rPr>
          <w:rFonts w:eastAsia="Times New Roman" w:cstheme="minorHAnsi"/>
          <w:b/>
          <w:bCs/>
          <w:sz w:val="24"/>
          <w:szCs w:val="24"/>
        </w:rPr>
        <w:t>Appendix C</w:t>
      </w:r>
    </w:p>
    <w:p w14:paraId="15B0AB58" w14:textId="77777777" w:rsidR="00CF3F5E" w:rsidRPr="004618D9" w:rsidRDefault="00CF3F5E" w:rsidP="004618D9">
      <w:pPr>
        <w:shd w:val="clear" w:color="auto" w:fill="FFFFFF"/>
        <w:spacing w:after="0" w:line="240" w:lineRule="auto"/>
        <w:jc w:val="center"/>
        <w:rPr>
          <w:rFonts w:eastAsia="Times New Roman" w:cstheme="minorHAnsi"/>
          <w:b/>
          <w:bCs/>
          <w:sz w:val="24"/>
          <w:szCs w:val="24"/>
        </w:rPr>
      </w:pPr>
    </w:p>
    <w:tbl>
      <w:tblPr>
        <w:tblStyle w:val="TableGrid"/>
        <w:tblW w:w="9743" w:type="dxa"/>
        <w:tblInd w:w="265" w:type="dxa"/>
        <w:tblLayout w:type="fixed"/>
        <w:tblLook w:val="04A0" w:firstRow="1" w:lastRow="0" w:firstColumn="1" w:lastColumn="0" w:noHBand="0" w:noVBand="1"/>
      </w:tblPr>
      <w:tblGrid>
        <w:gridCol w:w="7495"/>
        <w:gridCol w:w="1145"/>
        <w:gridCol w:w="1103"/>
      </w:tblGrid>
      <w:tr w:rsidR="00CF3F5E" w:rsidRPr="00A74C7F" w14:paraId="4D908538" w14:textId="77777777" w:rsidTr="009D647C">
        <w:tc>
          <w:tcPr>
            <w:tcW w:w="9743" w:type="dxa"/>
            <w:gridSpan w:val="3"/>
          </w:tcPr>
          <w:p w14:paraId="35AA17CD" w14:textId="77777777" w:rsidR="00CF3F5E" w:rsidRDefault="00CF3F5E" w:rsidP="009D647C">
            <w:pPr>
              <w:jc w:val="center"/>
              <w:rPr>
                <w:b/>
                <w:u w:val="single"/>
              </w:rPr>
            </w:pPr>
            <w:r w:rsidRPr="00A74C7F">
              <w:rPr>
                <w:b/>
                <w:u w:val="single"/>
              </w:rPr>
              <w:t>Grand Totals</w:t>
            </w:r>
            <w:r>
              <w:rPr>
                <w:b/>
                <w:u w:val="single"/>
              </w:rPr>
              <w:t xml:space="preserve"> of Presence </w:t>
            </w:r>
          </w:p>
          <w:p w14:paraId="595FDC3A" w14:textId="77777777" w:rsidR="00CF3F5E" w:rsidRPr="00436E5B" w:rsidRDefault="00CF3F5E" w:rsidP="009D647C">
            <w:pPr>
              <w:jc w:val="center"/>
              <w:rPr>
                <w:bCs/>
              </w:rPr>
            </w:pPr>
            <w:r w:rsidRPr="00436E5B">
              <w:rPr>
                <w:bCs/>
              </w:rPr>
              <w:t>(est. December 2022)</w:t>
            </w:r>
          </w:p>
        </w:tc>
      </w:tr>
      <w:tr w:rsidR="00CF3F5E" w:rsidRPr="00EF134E" w14:paraId="539FA472" w14:textId="77777777" w:rsidTr="009D647C">
        <w:tc>
          <w:tcPr>
            <w:tcW w:w="7495" w:type="dxa"/>
          </w:tcPr>
          <w:p w14:paraId="3C53A19E" w14:textId="77777777" w:rsidR="00CF3F5E" w:rsidRDefault="00CF3F5E" w:rsidP="009D647C">
            <w:pPr>
              <w:rPr>
                <w:b/>
              </w:rPr>
            </w:pPr>
            <w:r>
              <w:rPr>
                <w:b/>
              </w:rPr>
              <w:t>NO PRESENCE on University Webpages</w:t>
            </w:r>
          </w:p>
          <w:p w14:paraId="6F6BEFEE" w14:textId="77777777" w:rsidR="00CF3F5E" w:rsidRDefault="00CF3F5E" w:rsidP="009D647C">
            <w:pPr>
              <w:rPr>
                <w:b/>
              </w:rPr>
            </w:pPr>
            <w:r>
              <w:rPr>
                <w:b/>
              </w:rPr>
              <w:t xml:space="preserve">No faculty description on university website </w:t>
            </w:r>
            <w:r w:rsidRPr="00324E54">
              <w:rPr>
                <w:b/>
              </w:rPr>
              <w:t xml:space="preserve">no </w:t>
            </w:r>
            <w:r w:rsidRPr="00DA13E3">
              <w:rPr>
                <w:b/>
              </w:rPr>
              <w:t>matter how brief nor CV, website, or other listing attached (functionally invisible)</w:t>
            </w:r>
            <w:r>
              <w:rPr>
                <w:b/>
              </w:rPr>
              <w:t>; no unlinked Google Scholar Profile</w:t>
            </w:r>
          </w:p>
          <w:p w14:paraId="1AE06CE2" w14:textId="77777777" w:rsidR="00CF3F5E" w:rsidRDefault="00CF3F5E" w:rsidP="009D647C">
            <w:pPr>
              <w:rPr>
                <w:b/>
              </w:rPr>
            </w:pPr>
            <w:r>
              <w:rPr>
                <w:b/>
              </w:rPr>
              <w:t xml:space="preserve">No faculty description on university website </w:t>
            </w:r>
            <w:r w:rsidRPr="00324E54">
              <w:rPr>
                <w:b/>
              </w:rPr>
              <w:t xml:space="preserve">no </w:t>
            </w:r>
            <w:r w:rsidRPr="00DA13E3">
              <w:rPr>
                <w:b/>
              </w:rPr>
              <w:t>matter how brief nor CV, website, or other listing attached (functionally invisible)</w:t>
            </w:r>
            <w:r>
              <w:rPr>
                <w:b/>
              </w:rPr>
              <w:t xml:space="preserve"> but does have Google Scholar Profile not linked to their university webpage—Primarily JHB faculty</w:t>
            </w:r>
          </w:p>
          <w:p w14:paraId="2EBDD17A" w14:textId="77777777" w:rsidR="00CF3F5E" w:rsidRPr="00EF134E" w:rsidRDefault="00CF3F5E" w:rsidP="009D647C">
            <w:pPr>
              <w:rPr>
                <w:b/>
              </w:rPr>
            </w:pPr>
            <w:r>
              <w:rPr>
                <w:b/>
              </w:rPr>
              <w:t>Total no presence and no GS Profile + no presence but do have GS Profile</w:t>
            </w:r>
          </w:p>
        </w:tc>
        <w:tc>
          <w:tcPr>
            <w:tcW w:w="1145" w:type="dxa"/>
          </w:tcPr>
          <w:p w14:paraId="4319F1B6" w14:textId="77777777" w:rsidR="00CF3F5E" w:rsidRDefault="00CF3F5E" w:rsidP="009D647C">
            <w:pPr>
              <w:rPr>
                <w:b/>
              </w:rPr>
            </w:pPr>
          </w:p>
          <w:p w14:paraId="555ABC64" w14:textId="77777777" w:rsidR="00CF3F5E" w:rsidRPr="00F5567D" w:rsidRDefault="00CF3F5E" w:rsidP="009D647C">
            <w:pPr>
              <w:rPr>
                <w:bCs/>
              </w:rPr>
            </w:pPr>
            <w:r>
              <w:rPr>
                <w:bCs/>
              </w:rPr>
              <w:t xml:space="preserve">     </w:t>
            </w:r>
            <w:r w:rsidRPr="00F5567D">
              <w:rPr>
                <w:bCs/>
              </w:rPr>
              <w:t>80</w:t>
            </w:r>
          </w:p>
          <w:p w14:paraId="14FA2A0A" w14:textId="77777777" w:rsidR="00CF3F5E" w:rsidRDefault="00CF3F5E" w:rsidP="009D647C">
            <w:pPr>
              <w:rPr>
                <w:b/>
              </w:rPr>
            </w:pPr>
          </w:p>
          <w:p w14:paraId="5C2B6FB6" w14:textId="77777777" w:rsidR="00CF3F5E" w:rsidRPr="00F5567D" w:rsidRDefault="00CF3F5E" w:rsidP="009D647C">
            <w:pPr>
              <w:rPr>
                <w:bCs/>
              </w:rPr>
            </w:pPr>
            <w:r>
              <w:rPr>
                <w:bCs/>
              </w:rPr>
              <w:t xml:space="preserve">     </w:t>
            </w:r>
            <w:r w:rsidRPr="00F5567D">
              <w:rPr>
                <w:bCs/>
              </w:rPr>
              <w:t>27</w:t>
            </w:r>
          </w:p>
          <w:p w14:paraId="09698E29" w14:textId="77777777" w:rsidR="00CF3F5E" w:rsidRDefault="00CF3F5E" w:rsidP="009D647C">
            <w:pPr>
              <w:rPr>
                <w:b/>
              </w:rPr>
            </w:pPr>
          </w:p>
          <w:p w14:paraId="317F63BB" w14:textId="77777777" w:rsidR="00CF3F5E" w:rsidRDefault="00CF3F5E" w:rsidP="009D647C">
            <w:pPr>
              <w:rPr>
                <w:b/>
              </w:rPr>
            </w:pPr>
          </w:p>
          <w:p w14:paraId="7F21D68B" w14:textId="77777777" w:rsidR="00CF3F5E" w:rsidRPr="00EF134E" w:rsidRDefault="00CF3F5E" w:rsidP="009D647C">
            <w:pPr>
              <w:rPr>
                <w:b/>
              </w:rPr>
            </w:pPr>
            <w:r>
              <w:rPr>
                <w:b/>
              </w:rPr>
              <w:t>107</w:t>
            </w:r>
          </w:p>
        </w:tc>
        <w:tc>
          <w:tcPr>
            <w:tcW w:w="1103" w:type="dxa"/>
          </w:tcPr>
          <w:p w14:paraId="50309BFD" w14:textId="77777777" w:rsidR="00CF3F5E" w:rsidRDefault="00CF3F5E" w:rsidP="009D647C">
            <w:pPr>
              <w:rPr>
                <w:b/>
              </w:rPr>
            </w:pPr>
          </w:p>
          <w:p w14:paraId="73DD1EBC" w14:textId="77777777" w:rsidR="00CF3F5E" w:rsidRPr="00F5567D" w:rsidRDefault="00CF3F5E" w:rsidP="009D647C">
            <w:pPr>
              <w:rPr>
                <w:bCs/>
              </w:rPr>
            </w:pPr>
            <w:r>
              <w:rPr>
                <w:bCs/>
              </w:rPr>
              <w:t xml:space="preserve">     </w:t>
            </w:r>
            <w:r w:rsidRPr="00F5567D">
              <w:rPr>
                <w:bCs/>
              </w:rPr>
              <w:t>16%</w:t>
            </w:r>
          </w:p>
          <w:p w14:paraId="04F10CBC" w14:textId="77777777" w:rsidR="00CF3F5E" w:rsidRPr="00F5567D" w:rsidRDefault="00CF3F5E" w:rsidP="009D647C">
            <w:pPr>
              <w:rPr>
                <w:bCs/>
              </w:rPr>
            </w:pPr>
          </w:p>
          <w:p w14:paraId="2E823448" w14:textId="77777777" w:rsidR="00CF3F5E" w:rsidRPr="00F5567D" w:rsidRDefault="00CF3F5E" w:rsidP="009D647C">
            <w:pPr>
              <w:rPr>
                <w:bCs/>
              </w:rPr>
            </w:pPr>
            <w:r>
              <w:rPr>
                <w:bCs/>
              </w:rPr>
              <w:t xml:space="preserve">       </w:t>
            </w:r>
            <w:r w:rsidRPr="00F5567D">
              <w:rPr>
                <w:bCs/>
              </w:rPr>
              <w:t>6%</w:t>
            </w:r>
          </w:p>
          <w:p w14:paraId="541C7989" w14:textId="77777777" w:rsidR="00CF3F5E" w:rsidRDefault="00CF3F5E" w:rsidP="009D647C">
            <w:pPr>
              <w:rPr>
                <w:b/>
              </w:rPr>
            </w:pPr>
          </w:p>
          <w:p w14:paraId="636F4C44" w14:textId="77777777" w:rsidR="00CF3F5E" w:rsidRDefault="00CF3F5E" w:rsidP="009D647C">
            <w:pPr>
              <w:rPr>
                <w:b/>
              </w:rPr>
            </w:pPr>
          </w:p>
          <w:p w14:paraId="3FCDC231" w14:textId="77777777" w:rsidR="00CF3F5E" w:rsidRPr="00EF134E" w:rsidRDefault="00CF3F5E" w:rsidP="009D647C">
            <w:pPr>
              <w:rPr>
                <w:b/>
              </w:rPr>
            </w:pPr>
            <w:r>
              <w:rPr>
                <w:b/>
              </w:rPr>
              <w:t>22%</w:t>
            </w:r>
          </w:p>
        </w:tc>
      </w:tr>
      <w:tr w:rsidR="00CF3F5E" w14:paraId="4DEDA82A" w14:textId="77777777" w:rsidTr="009D647C">
        <w:tc>
          <w:tcPr>
            <w:tcW w:w="7495" w:type="dxa"/>
          </w:tcPr>
          <w:p w14:paraId="2E7490AB" w14:textId="77777777" w:rsidR="00CF3F5E" w:rsidRDefault="00CF3F5E" w:rsidP="009D647C">
            <w:pPr>
              <w:rPr>
                <w:b/>
              </w:rPr>
            </w:pPr>
            <w:r>
              <w:rPr>
                <w:b/>
              </w:rPr>
              <w:t>WEAK OR MODERATE faculty presence (from weak webpage presence up to strong webpage presence but no CV or other link) (weak=99 or 20%; Moderate=180 or 37%)</w:t>
            </w:r>
          </w:p>
        </w:tc>
        <w:tc>
          <w:tcPr>
            <w:tcW w:w="1145" w:type="dxa"/>
          </w:tcPr>
          <w:p w14:paraId="48DEAF23" w14:textId="77777777" w:rsidR="00CF3F5E" w:rsidRDefault="00CF3F5E" w:rsidP="009D647C">
            <w:pPr>
              <w:rPr>
                <w:b/>
              </w:rPr>
            </w:pPr>
            <w:r>
              <w:rPr>
                <w:b/>
              </w:rPr>
              <w:t>279</w:t>
            </w:r>
          </w:p>
        </w:tc>
        <w:tc>
          <w:tcPr>
            <w:tcW w:w="1103" w:type="dxa"/>
          </w:tcPr>
          <w:p w14:paraId="21F1A257" w14:textId="77777777" w:rsidR="00CF3F5E" w:rsidRDefault="00CF3F5E" w:rsidP="009D647C">
            <w:pPr>
              <w:rPr>
                <w:b/>
              </w:rPr>
            </w:pPr>
            <w:r>
              <w:rPr>
                <w:b/>
              </w:rPr>
              <w:t>57%</w:t>
            </w:r>
          </w:p>
        </w:tc>
      </w:tr>
      <w:tr w:rsidR="00CF3F5E" w:rsidRPr="00EF134E" w14:paraId="2375E9FA" w14:textId="77777777" w:rsidTr="009D647C">
        <w:tc>
          <w:tcPr>
            <w:tcW w:w="7495" w:type="dxa"/>
          </w:tcPr>
          <w:p w14:paraId="315934D1" w14:textId="77777777" w:rsidR="00CF3F5E" w:rsidRPr="00EF134E" w:rsidRDefault="00CF3F5E" w:rsidP="009D647C">
            <w:pPr>
              <w:rPr>
                <w:b/>
              </w:rPr>
            </w:pPr>
            <w:r>
              <w:rPr>
                <w:b/>
              </w:rPr>
              <w:t>Faculty with a ROBUST PRESENCE on university webpages (both a substantial university webpage and a CV or other auxiliary attachment (e.g., website or Google Scholar)</w:t>
            </w:r>
          </w:p>
        </w:tc>
        <w:tc>
          <w:tcPr>
            <w:tcW w:w="1145" w:type="dxa"/>
          </w:tcPr>
          <w:p w14:paraId="464BFC6F" w14:textId="77777777" w:rsidR="00CF3F5E" w:rsidRPr="00EF134E" w:rsidRDefault="00CF3F5E" w:rsidP="009D647C">
            <w:pPr>
              <w:rPr>
                <w:b/>
              </w:rPr>
            </w:pPr>
            <w:r>
              <w:rPr>
                <w:b/>
              </w:rPr>
              <w:t>102</w:t>
            </w:r>
          </w:p>
        </w:tc>
        <w:tc>
          <w:tcPr>
            <w:tcW w:w="1103" w:type="dxa"/>
          </w:tcPr>
          <w:p w14:paraId="6C20053D" w14:textId="77777777" w:rsidR="00CF3F5E" w:rsidRPr="00EF134E" w:rsidRDefault="00CF3F5E" w:rsidP="009D647C">
            <w:pPr>
              <w:rPr>
                <w:b/>
              </w:rPr>
            </w:pPr>
            <w:r>
              <w:rPr>
                <w:b/>
              </w:rPr>
              <w:t>21%</w:t>
            </w:r>
          </w:p>
        </w:tc>
      </w:tr>
      <w:tr w:rsidR="00CF3F5E" w14:paraId="2F4C3A7B" w14:textId="77777777" w:rsidTr="009D647C">
        <w:tc>
          <w:tcPr>
            <w:tcW w:w="7495" w:type="dxa"/>
          </w:tcPr>
          <w:p w14:paraId="7D9DD630" w14:textId="77777777" w:rsidR="00CF3F5E" w:rsidRDefault="00CF3F5E" w:rsidP="009D647C">
            <w:pPr>
              <w:rPr>
                <w:b/>
              </w:rPr>
            </w:pPr>
          </w:p>
        </w:tc>
        <w:tc>
          <w:tcPr>
            <w:tcW w:w="1145" w:type="dxa"/>
          </w:tcPr>
          <w:p w14:paraId="2B2EDC63" w14:textId="77777777" w:rsidR="00CF3F5E" w:rsidRDefault="00CF3F5E" w:rsidP="009D647C">
            <w:pPr>
              <w:rPr>
                <w:b/>
              </w:rPr>
            </w:pPr>
            <w:r>
              <w:rPr>
                <w:b/>
              </w:rPr>
              <w:t>488</w:t>
            </w:r>
          </w:p>
        </w:tc>
        <w:tc>
          <w:tcPr>
            <w:tcW w:w="1103" w:type="dxa"/>
          </w:tcPr>
          <w:p w14:paraId="3FC979A3" w14:textId="77777777" w:rsidR="00CF3F5E" w:rsidRDefault="00CF3F5E" w:rsidP="009D647C">
            <w:pPr>
              <w:rPr>
                <w:b/>
              </w:rPr>
            </w:pPr>
            <w:r>
              <w:rPr>
                <w:b/>
              </w:rPr>
              <w:t>199%</w:t>
            </w:r>
          </w:p>
        </w:tc>
      </w:tr>
    </w:tbl>
    <w:p w14:paraId="1A6C597A" w14:textId="77777777" w:rsidR="00CF3F5E" w:rsidRDefault="00CF3F5E" w:rsidP="000F1887">
      <w:pPr>
        <w:rPr>
          <w:rFonts w:ascii="Calibri" w:hAnsi="Calibri" w:cs="Calibri"/>
          <w:bCs/>
          <w:color w:val="000000"/>
          <w:sz w:val="24"/>
          <w:szCs w:val="24"/>
          <w:shd w:val="clear" w:color="auto" w:fill="FFFFFF"/>
        </w:rPr>
      </w:pPr>
    </w:p>
    <w:p w14:paraId="49B15A29" w14:textId="77777777" w:rsidR="00CF3F5E" w:rsidRDefault="00CF3F5E" w:rsidP="004618D9">
      <w:pPr>
        <w:jc w:val="center"/>
        <w:rPr>
          <w:rFonts w:ascii="Calibri" w:hAnsi="Calibri" w:cs="Calibri"/>
          <w:b/>
          <w:color w:val="000000"/>
          <w:sz w:val="24"/>
          <w:szCs w:val="24"/>
          <w:shd w:val="clear" w:color="auto" w:fill="FFFFFF"/>
        </w:rPr>
      </w:pPr>
      <w:r>
        <w:rPr>
          <w:rFonts w:ascii="Calibri" w:hAnsi="Calibri" w:cs="Calibri"/>
          <w:b/>
          <w:color w:val="000000"/>
          <w:sz w:val="24"/>
          <w:szCs w:val="24"/>
          <w:shd w:val="clear" w:color="auto" w:fill="FFFFFF"/>
        </w:rPr>
        <w:br w:type="page"/>
      </w:r>
    </w:p>
    <w:p w14:paraId="33DCC39E" w14:textId="77777777" w:rsidR="00CF3F5E" w:rsidRDefault="00CF3F5E" w:rsidP="004618D9">
      <w:pPr>
        <w:jc w:val="center"/>
        <w:rPr>
          <w:rFonts w:ascii="Calibri" w:hAnsi="Calibri" w:cs="Calibri"/>
          <w:b/>
          <w:color w:val="000000"/>
          <w:sz w:val="24"/>
          <w:szCs w:val="24"/>
          <w:shd w:val="clear" w:color="auto" w:fill="FFFFFF"/>
        </w:rPr>
        <w:sectPr w:rsidR="00CF3F5E" w:rsidSect="00B93C5A">
          <w:pgSz w:w="12240" w:h="15840"/>
          <w:pgMar w:top="720" w:right="720" w:bottom="720" w:left="720" w:header="720" w:footer="720" w:gutter="0"/>
          <w:cols w:space="720"/>
          <w:docGrid w:linePitch="360"/>
        </w:sectPr>
      </w:pPr>
    </w:p>
    <w:p w14:paraId="37494D61" w14:textId="77777777" w:rsidR="00CF3F5E" w:rsidRPr="004618D9" w:rsidRDefault="00CF3F5E" w:rsidP="004618D9">
      <w:pPr>
        <w:jc w:val="center"/>
        <w:rPr>
          <w:rFonts w:ascii="Calibri" w:hAnsi="Calibri" w:cs="Calibri"/>
          <w:b/>
          <w:color w:val="000000"/>
          <w:sz w:val="24"/>
          <w:szCs w:val="24"/>
          <w:shd w:val="clear" w:color="auto" w:fill="FFFFFF"/>
        </w:rPr>
      </w:pPr>
      <w:r w:rsidRPr="004618D9">
        <w:rPr>
          <w:rFonts w:ascii="Calibri" w:hAnsi="Calibri" w:cs="Calibri"/>
          <w:b/>
          <w:color w:val="000000"/>
          <w:sz w:val="24"/>
          <w:szCs w:val="24"/>
          <w:shd w:val="clear" w:color="auto" w:fill="FFFFFF"/>
        </w:rPr>
        <w:lastRenderedPageBreak/>
        <w:t>Appendix D</w:t>
      </w:r>
    </w:p>
    <w:p w14:paraId="122A58EF" w14:textId="77777777" w:rsidR="00CF3F5E" w:rsidRPr="002055FE" w:rsidRDefault="00CF3F5E" w:rsidP="005531C8">
      <w:pPr>
        <w:spacing w:after="0"/>
        <w:jc w:val="center"/>
        <w:rPr>
          <w:b/>
          <w:bCs/>
          <w:sz w:val="28"/>
          <w:szCs w:val="28"/>
        </w:rPr>
      </w:pPr>
      <w:bookmarkStart w:id="0" w:name="_Hlk126572288"/>
      <w:r>
        <w:rPr>
          <w:b/>
          <w:bCs/>
          <w:sz w:val="28"/>
          <w:szCs w:val="28"/>
        </w:rPr>
        <w:t>C</w:t>
      </w:r>
      <w:r w:rsidRPr="002055FE">
        <w:rPr>
          <w:b/>
          <w:bCs/>
          <w:sz w:val="28"/>
          <w:szCs w:val="28"/>
        </w:rPr>
        <w:t xml:space="preserve">ommon Characteristics of Public Higher Education Institutions by Type/Classification </w:t>
      </w:r>
    </w:p>
    <w:p w14:paraId="7DA2825E" w14:textId="77777777" w:rsidR="00CF3F5E" w:rsidRPr="002055FE" w:rsidRDefault="00CF3F5E" w:rsidP="005531C8">
      <w:pPr>
        <w:spacing w:after="0"/>
        <w:jc w:val="center"/>
        <w:rPr>
          <w:sz w:val="16"/>
          <w:szCs w:val="16"/>
        </w:rPr>
      </w:pPr>
      <w:r w:rsidRPr="002055FE">
        <w:rPr>
          <w:sz w:val="16"/>
          <w:szCs w:val="16"/>
        </w:rPr>
        <w:t>(Model for Heuristic Purposes Only)</w:t>
      </w:r>
    </w:p>
    <w:tbl>
      <w:tblPr>
        <w:tblStyle w:val="TableGrid"/>
        <w:tblW w:w="14040" w:type="dxa"/>
        <w:tblInd w:w="-545" w:type="dxa"/>
        <w:tblLook w:val="04A0" w:firstRow="1" w:lastRow="0" w:firstColumn="1" w:lastColumn="0" w:noHBand="0" w:noVBand="1"/>
      </w:tblPr>
      <w:tblGrid>
        <w:gridCol w:w="2610"/>
        <w:gridCol w:w="2790"/>
        <w:gridCol w:w="2700"/>
        <w:gridCol w:w="2790"/>
        <w:gridCol w:w="3150"/>
      </w:tblGrid>
      <w:tr w:rsidR="00CF3F5E" w14:paraId="4617EA95" w14:textId="77777777" w:rsidTr="009D647C">
        <w:tc>
          <w:tcPr>
            <w:tcW w:w="2610" w:type="dxa"/>
          </w:tcPr>
          <w:p w14:paraId="5E703D2B" w14:textId="77777777" w:rsidR="00CF3F5E" w:rsidRDefault="00CF3F5E" w:rsidP="009D647C"/>
        </w:tc>
        <w:tc>
          <w:tcPr>
            <w:tcW w:w="2790" w:type="dxa"/>
          </w:tcPr>
          <w:p w14:paraId="12E77F8D" w14:textId="77777777" w:rsidR="00CF3F5E" w:rsidRPr="004618D9" w:rsidRDefault="00CF3F5E" w:rsidP="009D647C">
            <w:pPr>
              <w:jc w:val="center"/>
              <w:rPr>
                <w:b/>
                <w:bCs/>
              </w:rPr>
            </w:pPr>
            <w:r w:rsidRPr="004618D9">
              <w:rPr>
                <w:b/>
                <w:bCs/>
              </w:rPr>
              <w:t>Community College</w:t>
            </w:r>
          </w:p>
        </w:tc>
        <w:tc>
          <w:tcPr>
            <w:tcW w:w="2700" w:type="dxa"/>
          </w:tcPr>
          <w:p w14:paraId="56151166" w14:textId="77777777" w:rsidR="00CF3F5E" w:rsidRPr="004618D9" w:rsidRDefault="00CF3F5E" w:rsidP="009D647C">
            <w:pPr>
              <w:jc w:val="center"/>
              <w:rPr>
                <w:b/>
                <w:bCs/>
              </w:rPr>
            </w:pPr>
            <w:r w:rsidRPr="004618D9">
              <w:rPr>
                <w:b/>
                <w:bCs/>
              </w:rPr>
              <w:t>Primarily Undergraduate Institution (PUI)</w:t>
            </w:r>
          </w:p>
          <w:p w14:paraId="01495358" w14:textId="77777777" w:rsidR="00CF3F5E" w:rsidRDefault="00CF3F5E" w:rsidP="009D647C">
            <w:pPr>
              <w:jc w:val="center"/>
            </w:pPr>
            <w:r w:rsidRPr="000C5424">
              <w:rPr>
                <w:sz w:val="16"/>
                <w:szCs w:val="16"/>
              </w:rPr>
              <w:t>(with master’s programs</w:t>
            </w:r>
            <w:r>
              <w:rPr>
                <w:sz w:val="16"/>
                <w:szCs w:val="16"/>
              </w:rPr>
              <w:t>)</w:t>
            </w:r>
          </w:p>
        </w:tc>
        <w:tc>
          <w:tcPr>
            <w:tcW w:w="2790" w:type="dxa"/>
          </w:tcPr>
          <w:p w14:paraId="750F0FE9" w14:textId="77777777" w:rsidR="00CF3F5E" w:rsidRDefault="00CF3F5E" w:rsidP="009D647C">
            <w:pPr>
              <w:jc w:val="center"/>
            </w:pPr>
            <w:r w:rsidRPr="004618D9">
              <w:rPr>
                <w:b/>
                <w:bCs/>
              </w:rPr>
              <w:t>Moderately Intensive Research Institution</w:t>
            </w:r>
            <w:r>
              <w:t xml:space="preserve">--Public </w:t>
            </w:r>
            <w:r w:rsidRPr="000C5424">
              <w:rPr>
                <w:sz w:val="16"/>
                <w:szCs w:val="16"/>
              </w:rPr>
              <w:t>(Frequently Overlaps with R2 Status)</w:t>
            </w:r>
          </w:p>
        </w:tc>
        <w:tc>
          <w:tcPr>
            <w:tcW w:w="3150" w:type="dxa"/>
          </w:tcPr>
          <w:p w14:paraId="5DE25FA5" w14:textId="77777777" w:rsidR="00CF3F5E" w:rsidRDefault="00CF3F5E" w:rsidP="009D647C">
            <w:pPr>
              <w:jc w:val="center"/>
            </w:pPr>
            <w:r w:rsidRPr="004618D9">
              <w:rPr>
                <w:b/>
                <w:bCs/>
              </w:rPr>
              <w:t>Intensive Research Institution</w:t>
            </w:r>
            <w:r>
              <w:t xml:space="preserve">--Public </w:t>
            </w:r>
          </w:p>
          <w:p w14:paraId="507C2803" w14:textId="77777777" w:rsidR="00CF3F5E" w:rsidRDefault="00CF3F5E" w:rsidP="009D647C">
            <w:pPr>
              <w:jc w:val="center"/>
            </w:pPr>
            <w:r w:rsidRPr="000C5424">
              <w:rPr>
                <w:sz w:val="16"/>
                <w:szCs w:val="16"/>
              </w:rPr>
              <w:t>(Frequently Overlaps with R</w:t>
            </w:r>
            <w:r>
              <w:rPr>
                <w:sz w:val="16"/>
                <w:szCs w:val="16"/>
              </w:rPr>
              <w:t>1</w:t>
            </w:r>
            <w:r w:rsidRPr="000C5424">
              <w:rPr>
                <w:sz w:val="16"/>
                <w:szCs w:val="16"/>
              </w:rPr>
              <w:t xml:space="preserve"> Status)</w:t>
            </w:r>
          </w:p>
        </w:tc>
      </w:tr>
      <w:tr w:rsidR="00CF3F5E" w14:paraId="09818A05" w14:textId="77777777" w:rsidTr="009D647C">
        <w:tc>
          <w:tcPr>
            <w:tcW w:w="2610" w:type="dxa"/>
          </w:tcPr>
          <w:p w14:paraId="1E8F3AC3" w14:textId="77777777" w:rsidR="00CF3F5E" w:rsidRPr="003568FB" w:rsidRDefault="00CF3F5E" w:rsidP="009D647C">
            <w:pPr>
              <w:rPr>
                <w:sz w:val="20"/>
                <w:szCs w:val="20"/>
              </w:rPr>
            </w:pPr>
            <w:r w:rsidRPr="003568FB">
              <w:rPr>
                <w:sz w:val="20"/>
                <w:szCs w:val="20"/>
              </w:rPr>
              <w:t>Teaching</w:t>
            </w:r>
            <w:r>
              <w:rPr>
                <w:sz w:val="20"/>
                <w:szCs w:val="20"/>
              </w:rPr>
              <w:t xml:space="preserve"> &amp; service versus r</w:t>
            </w:r>
            <w:r w:rsidRPr="003568FB">
              <w:rPr>
                <w:sz w:val="20"/>
                <w:szCs w:val="20"/>
              </w:rPr>
              <w:t>esearch emphasis in faculty evaluation</w:t>
            </w:r>
          </w:p>
        </w:tc>
        <w:tc>
          <w:tcPr>
            <w:tcW w:w="2790" w:type="dxa"/>
          </w:tcPr>
          <w:p w14:paraId="77CDFC24" w14:textId="77777777" w:rsidR="00CF3F5E" w:rsidRPr="003568FB" w:rsidRDefault="00CF3F5E" w:rsidP="009D647C">
            <w:pPr>
              <w:rPr>
                <w:sz w:val="20"/>
                <w:szCs w:val="20"/>
              </w:rPr>
            </w:pPr>
            <w:r w:rsidRPr="003568FB">
              <w:rPr>
                <w:sz w:val="20"/>
                <w:szCs w:val="20"/>
              </w:rPr>
              <w:t>100/0</w:t>
            </w:r>
          </w:p>
        </w:tc>
        <w:tc>
          <w:tcPr>
            <w:tcW w:w="2700" w:type="dxa"/>
          </w:tcPr>
          <w:p w14:paraId="344EDED9" w14:textId="77777777" w:rsidR="00CF3F5E" w:rsidRPr="003568FB" w:rsidRDefault="00CF3F5E" w:rsidP="009D647C">
            <w:pPr>
              <w:rPr>
                <w:sz w:val="20"/>
                <w:szCs w:val="20"/>
              </w:rPr>
            </w:pPr>
            <w:r w:rsidRPr="003568FB">
              <w:rPr>
                <w:sz w:val="20"/>
                <w:szCs w:val="20"/>
              </w:rPr>
              <w:t>75/25</w:t>
            </w:r>
          </w:p>
        </w:tc>
        <w:tc>
          <w:tcPr>
            <w:tcW w:w="2790" w:type="dxa"/>
          </w:tcPr>
          <w:p w14:paraId="50C808B7" w14:textId="77777777" w:rsidR="00CF3F5E" w:rsidRPr="003568FB" w:rsidRDefault="00CF3F5E" w:rsidP="009D647C">
            <w:pPr>
              <w:rPr>
                <w:sz w:val="20"/>
                <w:szCs w:val="20"/>
              </w:rPr>
            </w:pPr>
            <w:r w:rsidRPr="003568FB">
              <w:rPr>
                <w:sz w:val="20"/>
                <w:szCs w:val="20"/>
              </w:rPr>
              <w:t>50/50</w:t>
            </w:r>
          </w:p>
        </w:tc>
        <w:tc>
          <w:tcPr>
            <w:tcW w:w="3150" w:type="dxa"/>
          </w:tcPr>
          <w:p w14:paraId="2503452D" w14:textId="77777777" w:rsidR="00CF3F5E" w:rsidRPr="003568FB" w:rsidRDefault="00CF3F5E" w:rsidP="009D647C">
            <w:pPr>
              <w:rPr>
                <w:sz w:val="20"/>
                <w:szCs w:val="20"/>
              </w:rPr>
            </w:pPr>
            <w:r w:rsidRPr="003568FB">
              <w:rPr>
                <w:sz w:val="20"/>
                <w:szCs w:val="20"/>
              </w:rPr>
              <w:t>25/75</w:t>
            </w:r>
          </w:p>
        </w:tc>
      </w:tr>
      <w:tr w:rsidR="00CF3F5E" w14:paraId="172B4DAF" w14:textId="77777777" w:rsidTr="009D647C">
        <w:tc>
          <w:tcPr>
            <w:tcW w:w="2610" w:type="dxa"/>
          </w:tcPr>
          <w:p w14:paraId="49989DE9" w14:textId="77777777" w:rsidR="00CF3F5E" w:rsidRPr="003568FB" w:rsidRDefault="00CF3F5E" w:rsidP="009D647C">
            <w:pPr>
              <w:rPr>
                <w:sz w:val="20"/>
                <w:szCs w:val="20"/>
              </w:rPr>
            </w:pPr>
            <w:r w:rsidRPr="003568FB">
              <w:rPr>
                <w:sz w:val="20"/>
                <w:szCs w:val="20"/>
              </w:rPr>
              <w:t>Nature of students by preparation and academic orientation</w:t>
            </w:r>
          </w:p>
        </w:tc>
        <w:tc>
          <w:tcPr>
            <w:tcW w:w="2790" w:type="dxa"/>
          </w:tcPr>
          <w:p w14:paraId="7EEEC10B" w14:textId="77777777" w:rsidR="00CF3F5E" w:rsidRPr="003568FB" w:rsidRDefault="00CF3F5E" w:rsidP="009D647C">
            <w:pPr>
              <w:rPr>
                <w:sz w:val="20"/>
                <w:szCs w:val="20"/>
              </w:rPr>
            </w:pPr>
            <w:r>
              <w:rPr>
                <w:sz w:val="20"/>
                <w:szCs w:val="20"/>
              </w:rPr>
              <w:t xml:space="preserve">Very high acceptance rates: </w:t>
            </w:r>
            <w:r w:rsidRPr="003568FB">
              <w:rPr>
                <w:sz w:val="20"/>
                <w:szCs w:val="20"/>
              </w:rPr>
              <w:t xml:space="preserve">Wide range of students from </w:t>
            </w:r>
            <w:r>
              <w:rPr>
                <w:sz w:val="20"/>
                <w:szCs w:val="20"/>
              </w:rPr>
              <w:t>those</w:t>
            </w:r>
            <w:r w:rsidRPr="003568FB">
              <w:rPr>
                <w:sz w:val="20"/>
                <w:szCs w:val="20"/>
              </w:rPr>
              <w:t xml:space="preserve"> needing substantial remediation to academically </w:t>
            </w:r>
            <w:r>
              <w:rPr>
                <w:sz w:val="20"/>
                <w:szCs w:val="20"/>
              </w:rPr>
              <w:t>prepared</w:t>
            </w:r>
            <w:r w:rsidRPr="003568FB">
              <w:rPr>
                <w:sz w:val="20"/>
                <w:szCs w:val="20"/>
              </w:rPr>
              <w:t xml:space="preserve"> students—the wide range necessitates smaller classes</w:t>
            </w:r>
          </w:p>
        </w:tc>
        <w:tc>
          <w:tcPr>
            <w:tcW w:w="2700" w:type="dxa"/>
          </w:tcPr>
          <w:p w14:paraId="2870B530" w14:textId="77777777" w:rsidR="00CF3F5E" w:rsidRPr="003568FB" w:rsidRDefault="00CF3F5E" w:rsidP="009D647C">
            <w:pPr>
              <w:rPr>
                <w:sz w:val="20"/>
                <w:szCs w:val="20"/>
              </w:rPr>
            </w:pPr>
            <w:r>
              <w:rPr>
                <w:sz w:val="20"/>
                <w:szCs w:val="20"/>
              </w:rPr>
              <w:t xml:space="preserve">High acceptance rates: </w:t>
            </w:r>
            <w:r w:rsidRPr="003568FB">
              <w:rPr>
                <w:sz w:val="20"/>
                <w:szCs w:val="20"/>
              </w:rPr>
              <w:t xml:space="preserve">Wide range of students from </w:t>
            </w:r>
            <w:r>
              <w:rPr>
                <w:sz w:val="20"/>
                <w:szCs w:val="20"/>
              </w:rPr>
              <w:t>those</w:t>
            </w:r>
            <w:r w:rsidRPr="003568FB">
              <w:rPr>
                <w:sz w:val="20"/>
                <w:szCs w:val="20"/>
              </w:rPr>
              <w:t xml:space="preserve"> needing substantial remediation to academically </w:t>
            </w:r>
            <w:r>
              <w:rPr>
                <w:sz w:val="20"/>
                <w:szCs w:val="20"/>
              </w:rPr>
              <w:t>prepared</w:t>
            </w:r>
            <w:r w:rsidRPr="003568FB">
              <w:rPr>
                <w:sz w:val="20"/>
                <w:szCs w:val="20"/>
              </w:rPr>
              <w:t xml:space="preserve"> students—the wide range necessitates </w:t>
            </w:r>
            <w:r>
              <w:rPr>
                <w:sz w:val="20"/>
                <w:szCs w:val="20"/>
              </w:rPr>
              <w:t xml:space="preserve">more </w:t>
            </w:r>
            <w:r w:rsidRPr="003568FB">
              <w:rPr>
                <w:sz w:val="20"/>
                <w:szCs w:val="20"/>
              </w:rPr>
              <w:t>smaller classes</w:t>
            </w:r>
            <w:r>
              <w:rPr>
                <w:sz w:val="20"/>
                <w:szCs w:val="20"/>
              </w:rPr>
              <w:t xml:space="preserve"> </w:t>
            </w:r>
          </w:p>
        </w:tc>
        <w:tc>
          <w:tcPr>
            <w:tcW w:w="2790" w:type="dxa"/>
          </w:tcPr>
          <w:p w14:paraId="06E3C563" w14:textId="77777777" w:rsidR="00CF3F5E" w:rsidRPr="003568FB" w:rsidRDefault="00CF3F5E" w:rsidP="009D647C">
            <w:pPr>
              <w:rPr>
                <w:sz w:val="20"/>
                <w:szCs w:val="20"/>
              </w:rPr>
            </w:pPr>
            <w:r>
              <w:rPr>
                <w:sz w:val="20"/>
                <w:szCs w:val="20"/>
              </w:rPr>
              <w:t>Moderate acceptance rates: Moderate</w:t>
            </w:r>
            <w:r w:rsidRPr="003568FB">
              <w:rPr>
                <w:sz w:val="20"/>
                <w:szCs w:val="20"/>
              </w:rPr>
              <w:t xml:space="preserve"> range of students </w:t>
            </w:r>
            <w:r>
              <w:rPr>
                <w:sz w:val="20"/>
                <w:szCs w:val="20"/>
              </w:rPr>
              <w:t>with greater focus on</w:t>
            </w:r>
            <w:r w:rsidRPr="003568FB">
              <w:rPr>
                <w:sz w:val="20"/>
                <w:szCs w:val="20"/>
              </w:rPr>
              <w:t xml:space="preserve"> academically gifted students—the </w:t>
            </w:r>
            <w:r>
              <w:rPr>
                <w:sz w:val="20"/>
                <w:szCs w:val="20"/>
              </w:rPr>
              <w:t>moderate</w:t>
            </w:r>
            <w:r w:rsidRPr="003568FB">
              <w:rPr>
                <w:sz w:val="20"/>
                <w:szCs w:val="20"/>
              </w:rPr>
              <w:t xml:space="preserve"> range </w:t>
            </w:r>
            <w:r>
              <w:rPr>
                <w:sz w:val="20"/>
                <w:szCs w:val="20"/>
              </w:rPr>
              <w:t xml:space="preserve">allows for more large </w:t>
            </w:r>
            <w:r w:rsidRPr="003568FB">
              <w:rPr>
                <w:sz w:val="20"/>
                <w:szCs w:val="20"/>
              </w:rPr>
              <w:t>class</w:t>
            </w:r>
          </w:p>
        </w:tc>
        <w:tc>
          <w:tcPr>
            <w:tcW w:w="3150" w:type="dxa"/>
          </w:tcPr>
          <w:p w14:paraId="6B181D5C" w14:textId="77777777" w:rsidR="00CF3F5E" w:rsidRPr="003568FB" w:rsidRDefault="00CF3F5E" w:rsidP="009D647C">
            <w:pPr>
              <w:rPr>
                <w:sz w:val="20"/>
                <w:szCs w:val="20"/>
              </w:rPr>
            </w:pPr>
            <w:r>
              <w:rPr>
                <w:sz w:val="20"/>
                <w:szCs w:val="20"/>
              </w:rPr>
              <w:t>Low acceptance rates: Relatively narrow</w:t>
            </w:r>
            <w:r w:rsidRPr="003568FB">
              <w:rPr>
                <w:sz w:val="20"/>
                <w:szCs w:val="20"/>
              </w:rPr>
              <w:t xml:space="preserve"> range of students </w:t>
            </w:r>
            <w:r>
              <w:rPr>
                <w:sz w:val="20"/>
                <w:szCs w:val="20"/>
              </w:rPr>
              <w:t xml:space="preserve">focusing almost entirely on those who are </w:t>
            </w:r>
            <w:r w:rsidRPr="003568FB">
              <w:rPr>
                <w:sz w:val="20"/>
                <w:szCs w:val="20"/>
              </w:rPr>
              <w:t xml:space="preserve">academically </w:t>
            </w:r>
            <w:r>
              <w:rPr>
                <w:sz w:val="20"/>
                <w:szCs w:val="20"/>
              </w:rPr>
              <w:t>prepared</w:t>
            </w:r>
            <w:r w:rsidRPr="003568FB">
              <w:rPr>
                <w:sz w:val="20"/>
                <w:szCs w:val="20"/>
              </w:rPr>
              <w:t>—the</w:t>
            </w:r>
            <w:r>
              <w:rPr>
                <w:sz w:val="20"/>
                <w:szCs w:val="20"/>
              </w:rPr>
              <w:t xml:space="preserve"> narrower</w:t>
            </w:r>
            <w:r w:rsidRPr="003568FB">
              <w:rPr>
                <w:sz w:val="20"/>
                <w:szCs w:val="20"/>
              </w:rPr>
              <w:t xml:space="preserve"> range </w:t>
            </w:r>
            <w:r>
              <w:rPr>
                <w:sz w:val="20"/>
                <w:szCs w:val="20"/>
              </w:rPr>
              <w:t>allows for extensive use of large classes in the lower division</w:t>
            </w:r>
          </w:p>
        </w:tc>
      </w:tr>
      <w:tr w:rsidR="00CF3F5E" w14:paraId="1C5CD2A9" w14:textId="77777777" w:rsidTr="009D647C">
        <w:tc>
          <w:tcPr>
            <w:tcW w:w="2610" w:type="dxa"/>
          </w:tcPr>
          <w:p w14:paraId="734FDE68" w14:textId="77777777" w:rsidR="00CF3F5E" w:rsidRPr="003568FB" w:rsidRDefault="00CF3F5E" w:rsidP="009D647C">
            <w:pPr>
              <w:rPr>
                <w:sz w:val="20"/>
                <w:szCs w:val="20"/>
              </w:rPr>
            </w:pPr>
            <w:r>
              <w:rPr>
                <w:sz w:val="20"/>
                <w:szCs w:val="20"/>
              </w:rPr>
              <w:t>Comparative tuition</w:t>
            </w:r>
          </w:p>
        </w:tc>
        <w:tc>
          <w:tcPr>
            <w:tcW w:w="2790" w:type="dxa"/>
          </w:tcPr>
          <w:p w14:paraId="5A141F96" w14:textId="77777777" w:rsidR="00CF3F5E" w:rsidRDefault="00CF3F5E" w:rsidP="009D647C">
            <w:pPr>
              <w:rPr>
                <w:sz w:val="20"/>
                <w:szCs w:val="20"/>
              </w:rPr>
            </w:pPr>
            <w:r>
              <w:rPr>
                <w:sz w:val="20"/>
                <w:szCs w:val="20"/>
              </w:rPr>
              <w:t>Very low</w:t>
            </w:r>
          </w:p>
        </w:tc>
        <w:tc>
          <w:tcPr>
            <w:tcW w:w="2700" w:type="dxa"/>
          </w:tcPr>
          <w:p w14:paraId="510C953C" w14:textId="77777777" w:rsidR="00CF3F5E" w:rsidRDefault="00CF3F5E" w:rsidP="009D647C">
            <w:pPr>
              <w:rPr>
                <w:sz w:val="20"/>
                <w:szCs w:val="20"/>
              </w:rPr>
            </w:pPr>
            <w:r>
              <w:rPr>
                <w:sz w:val="20"/>
                <w:szCs w:val="20"/>
              </w:rPr>
              <w:t>Low</w:t>
            </w:r>
          </w:p>
        </w:tc>
        <w:tc>
          <w:tcPr>
            <w:tcW w:w="2790" w:type="dxa"/>
          </w:tcPr>
          <w:p w14:paraId="6AC5ED2B" w14:textId="77777777" w:rsidR="00CF3F5E" w:rsidRDefault="00CF3F5E" w:rsidP="009D647C">
            <w:pPr>
              <w:rPr>
                <w:sz w:val="20"/>
                <w:szCs w:val="20"/>
              </w:rPr>
            </w:pPr>
            <w:r>
              <w:rPr>
                <w:sz w:val="20"/>
                <w:szCs w:val="20"/>
              </w:rPr>
              <w:t>Moderate</w:t>
            </w:r>
          </w:p>
        </w:tc>
        <w:tc>
          <w:tcPr>
            <w:tcW w:w="3150" w:type="dxa"/>
          </w:tcPr>
          <w:p w14:paraId="46288AAC" w14:textId="77777777" w:rsidR="00CF3F5E" w:rsidRDefault="00CF3F5E" w:rsidP="009D647C">
            <w:pPr>
              <w:rPr>
                <w:sz w:val="20"/>
                <w:szCs w:val="20"/>
              </w:rPr>
            </w:pPr>
            <w:r>
              <w:rPr>
                <w:sz w:val="20"/>
                <w:szCs w:val="20"/>
              </w:rPr>
              <w:t>High</w:t>
            </w:r>
          </w:p>
        </w:tc>
      </w:tr>
      <w:tr w:rsidR="00CF3F5E" w14:paraId="37901406" w14:textId="77777777" w:rsidTr="009D647C">
        <w:tc>
          <w:tcPr>
            <w:tcW w:w="2610" w:type="dxa"/>
          </w:tcPr>
          <w:p w14:paraId="300A5FA2" w14:textId="77777777" w:rsidR="00CF3F5E" w:rsidRPr="003568FB" w:rsidRDefault="00CF3F5E" w:rsidP="009D647C">
            <w:pPr>
              <w:rPr>
                <w:sz w:val="20"/>
                <w:szCs w:val="20"/>
              </w:rPr>
            </w:pPr>
            <w:r w:rsidRPr="003568FB">
              <w:rPr>
                <w:sz w:val="20"/>
                <w:szCs w:val="20"/>
              </w:rPr>
              <w:t>Teaching focus: size</w:t>
            </w:r>
          </w:p>
        </w:tc>
        <w:tc>
          <w:tcPr>
            <w:tcW w:w="2790" w:type="dxa"/>
          </w:tcPr>
          <w:p w14:paraId="19039336" w14:textId="77777777" w:rsidR="00CF3F5E" w:rsidRPr="003568FB" w:rsidRDefault="00CF3F5E" w:rsidP="009D647C">
            <w:pPr>
              <w:rPr>
                <w:sz w:val="20"/>
                <w:szCs w:val="20"/>
              </w:rPr>
            </w:pPr>
            <w:r w:rsidRPr="003568FB">
              <w:rPr>
                <w:sz w:val="20"/>
                <w:szCs w:val="20"/>
              </w:rPr>
              <w:t>Teaching exclusively through small and medium sized classes</w:t>
            </w:r>
          </w:p>
        </w:tc>
        <w:tc>
          <w:tcPr>
            <w:tcW w:w="2700" w:type="dxa"/>
          </w:tcPr>
          <w:p w14:paraId="39332B6D" w14:textId="77777777" w:rsidR="00CF3F5E" w:rsidRPr="003568FB" w:rsidRDefault="00CF3F5E" w:rsidP="009D647C">
            <w:pPr>
              <w:rPr>
                <w:sz w:val="20"/>
                <w:szCs w:val="20"/>
              </w:rPr>
            </w:pPr>
            <w:r w:rsidRPr="003568FB">
              <w:rPr>
                <w:sz w:val="20"/>
                <w:szCs w:val="20"/>
              </w:rPr>
              <w:t>Teaching primarily through small classes in GE</w:t>
            </w:r>
            <w:r>
              <w:rPr>
                <w:sz w:val="20"/>
                <w:szCs w:val="20"/>
              </w:rPr>
              <w:t>;</w:t>
            </w:r>
            <w:r w:rsidRPr="003568FB">
              <w:rPr>
                <w:sz w:val="20"/>
                <w:szCs w:val="20"/>
              </w:rPr>
              <w:t xml:space="preserve"> occasional use of large </w:t>
            </w:r>
            <w:r>
              <w:rPr>
                <w:sz w:val="20"/>
                <w:szCs w:val="20"/>
              </w:rPr>
              <w:t xml:space="preserve">intro </w:t>
            </w:r>
            <w:r w:rsidRPr="003568FB">
              <w:rPr>
                <w:sz w:val="20"/>
                <w:szCs w:val="20"/>
              </w:rPr>
              <w:t>classes</w:t>
            </w:r>
          </w:p>
        </w:tc>
        <w:tc>
          <w:tcPr>
            <w:tcW w:w="2790" w:type="dxa"/>
          </w:tcPr>
          <w:p w14:paraId="7B15BFE6" w14:textId="77777777" w:rsidR="00CF3F5E" w:rsidRPr="003568FB" w:rsidRDefault="00CF3F5E" w:rsidP="009D647C">
            <w:pPr>
              <w:rPr>
                <w:sz w:val="20"/>
                <w:szCs w:val="20"/>
              </w:rPr>
            </w:pPr>
            <w:r w:rsidRPr="003568FB">
              <w:rPr>
                <w:sz w:val="20"/>
                <w:szCs w:val="20"/>
              </w:rPr>
              <w:t>Large classes common in lower division programs across both GE and introductory courses</w:t>
            </w:r>
          </w:p>
        </w:tc>
        <w:tc>
          <w:tcPr>
            <w:tcW w:w="3150" w:type="dxa"/>
          </w:tcPr>
          <w:p w14:paraId="0C6FC974" w14:textId="77777777" w:rsidR="00CF3F5E" w:rsidRPr="003568FB" w:rsidRDefault="00CF3F5E" w:rsidP="009D647C">
            <w:pPr>
              <w:rPr>
                <w:sz w:val="20"/>
                <w:szCs w:val="20"/>
              </w:rPr>
            </w:pPr>
            <w:r w:rsidRPr="003568FB">
              <w:rPr>
                <w:sz w:val="20"/>
                <w:szCs w:val="20"/>
              </w:rPr>
              <w:t>Teaching small classes largely limited to upper division major courses and graduate programs</w:t>
            </w:r>
          </w:p>
        </w:tc>
      </w:tr>
      <w:tr w:rsidR="00CF3F5E" w14:paraId="1B79F416" w14:textId="77777777" w:rsidTr="009D647C">
        <w:tc>
          <w:tcPr>
            <w:tcW w:w="2610" w:type="dxa"/>
          </w:tcPr>
          <w:p w14:paraId="2D5CFC74" w14:textId="77777777" w:rsidR="00CF3F5E" w:rsidRPr="003568FB" w:rsidRDefault="00CF3F5E" w:rsidP="009D647C">
            <w:pPr>
              <w:rPr>
                <w:sz w:val="20"/>
                <w:szCs w:val="20"/>
              </w:rPr>
            </w:pPr>
            <w:r w:rsidRPr="003568FB">
              <w:rPr>
                <w:sz w:val="20"/>
                <w:szCs w:val="20"/>
              </w:rPr>
              <w:t xml:space="preserve">Teaching focus: </w:t>
            </w:r>
            <w:r>
              <w:rPr>
                <w:sz w:val="20"/>
                <w:szCs w:val="20"/>
              </w:rPr>
              <w:t xml:space="preserve">emphasis of </w:t>
            </w:r>
            <w:r w:rsidRPr="003568FB">
              <w:rPr>
                <w:sz w:val="20"/>
                <w:szCs w:val="20"/>
              </w:rPr>
              <w:t>academic programs</w:t>
            </w:r>
          </w:p>
        </w:tc>
        <w:tc>
          <w:tcPr>
            <w:tcW w:w="2790" w:type="dxa"/>
          </w:tcPr>
          <w:p w14:paraId="634DB28C" w14:textId="77777777" w:rsidR="00CF3F5E" w:rsidRPr="003568FB" w:rsidRDefault="00CF3F5E" w:rsidP="009D647C">
            <w:pPr>
              <w:rPr>
                <w:sz w:val="20"/>
                <w:szCs w:val="20"/>
              </w:rPr>
            </w:pPr>
            <w:r w:rsidRPr="003568FB">
              <w:rPr>
                <w:sz w:val="20"/>
                <w:szCs w:val="20"/>
              </w:rPr>
              <w:t>Lower division only</w:t>
            </w:r>
          </w:p>
        </w:tc>
        <w:tc>
          <w:tcPr>
            <w:tcW w:w="2700" w:type="dxa"/>
          </w:tcPr>
          <w:p w14:paraId="36C79ED8" w14:textId="77777777" w:rsidR="00CF3F5E" w:rsidRPr="003568FB" w:rsidRDefault="00CF3F5E" w:rsidP="009D647C">
            <w:pPr>
              <w:rPr>
                <w:sz w:val="20"/>
                <w:szCs w:val="20"/>
              </w:rPr>
            </w:pPr>
            <w:r w:rsidRPr="003568FB">
              <w:rPr>
                <w:sz w:val="20"/>
                <w:szCs w:val="20"/>
              </w:rPr>
              <w:t>Primarily undergraduate; some master’s; few</w:t>
            </w:r>
            <w:r>
              <w:rPr>
                <w:sz w:val="20"/>
                <w:szCs w:val="20"/>
              </w:rPr>
              <w:t>,</w:t>
            </w:r>
            <w:r w:rsidRPr="003568FB">
              <w:rPr>
                <w:sz w:val="20"/>
                <w:szCs w:val="20"/>
              </w:rPr>
              <w:t xml:space="preserve"> </w:t>
            </w:r>
            <w:r>
              <w:rPr>
                <w:sz w:val="20"/>
                <w:szCs w:val="20"/>
              </w:rPr>
              <w:t xml:space="preserve">if any, </w:t>
            </w:r>
            <w:r w:rsidRPr="003568FB">
              <w:rPr>
                <w:sz w:val="20"/>
                <w:szCs w:val="20"/>
              </w:rPr>
              <w:t>doctoral</w:t>
            </w:r>
          </w:p>
        </w:tc>
        <w:tc>
          <w:tcPr>
            <w:tcW w:w="2790" w:type="dxa"/>
          </w:tcPr>
          <w:p w14:paraId="23259338" w14:textId="77777777" w:rsidR="00CF3F5E" w:rsidRPr="003568FB" w:rsidRDefault="00CF3F5E" w:rsidP="009D647C">
            <w:pPr>
              <w:rPr>
                <w:sz w:val="20"/>
                <w:szCs w:val="20"/>
              </w:rPr>
            </w:pPr>
            <w:r w:rsidRPr="003568FB">
              <w:rPr>
                <w:sz w:val="20"/>
                <w:szCs w:val="20"/>
              </w:rPr>
              <w:t>Substantial undergraduate; substantial master’s; modest doctoral</w:t>
            </w:r>
          </w:p>
        </w:tc>
        <w:tc>
          <w:tcPr>
            <w:tcW w:w="3150" w:type="dxa"/>
          </w:tcPr>
          <w:p w14:paraId="738DA182" w14:textId="77777777" w:rsidR="00CF3F5E" w:rsidRPr="003568FB" w:rsidRDefault="00CF3F5E" w:rsidP="009D647C">
            <w:pPr>
              <w:rPr>
                <w:sz w:val="20"/>
                <w:szCs w:val="20"/>
              </w:rPr>
            </w:pPr>
            <w:r w:rsidRPr="003568FB">
              <w:rPr>
                <w:sz w:val="20"/>
                <w:szCs w:val="20"/>
              </w:rPr>
              <w:t xml:space="preserve">Modest undergraduate; moderate master’s; </w:t>
            </w:r>
            <w:r>
              <w:rPr>
                <w:sz w:val="20"/>
                <w:szCs w:val="20"/>
              </w:rPr>
              <w:t>major focus on</w:t>
            </w:r>
            <w:r w:rsidRPr="003568FB">
              <w:rPr>
                <w:sz w:val="20"/>
                <w:szCs w:val="20"/>
              </w:rPr>
              <w:t xml:space="preserve"> doctoral</w:t>
            </w:r>
            <w:r>
              <w:rPr>
                <w:sz w:val="20"/>
                <w:szCs w:val="20"/>
              </w:rPr>
              <w:t xml:space="preserve"> programs</w:t>
            </w:r>
          </w:p>
        </w:tc>
      </w:tr>
      <w:tr w:rsidR="00CF3F5E" w14:paraId="01B4CED5" w14:textId="77777777" w:rsidTr="009D647C">
        <w:tc>
          <w:tcPr>
            <w:tcW w:w="2610" w:type="dxa"/>
          </w:tcPr>
          <w:p w14:paraId="3095AD36" w14:textId="77777777" w:rsidR="00CF3F5E" w:rsidRPr="003568FB" w:rsidRDefault="00CF3F5E" w:rsidP="009D647C">
            <w:pPr>
              <w:rPr>
                <w:sz w:val="20"/>
                <w:szCs w:val="20"/>
              </w:rPr>
            </w:pPr>
            <w:r w:rsidRPr="003568FB">
              <w:rPr>
                <w:sz w:val="20"/>
                <w:szCs w:val="20"/>
              </w:rPr>
              <w:t>Teaching focus: lower division student contact with tenured contact</w:t>
            </w:r>
          </w:p>
        </w:tc>
        <w:tc>
          <w:tcPr>
            <w:tcW w:w="2790" w:type="dxa"/>
          </w:tcPr>
          <w:p w14:paraId="7922B373" w14:textId="77777777" w:rsidR="00CF3F5E" w:rsidRPr="003568FB" w:rsidRDefault="00CF3F5E" w:rsidP="009D647C">
            <w:pPr>
              <w:rPr>
                <w:sz w:val="20"/>
                <w:szCs w:val="20"/>
              </w:rPr>
            </w:pPr>
            <w:r w:rsidRPr="003568FB">
              <w:rPr>
                <w:sz w:val="20"/>
                <w:szCs w:val="20"/>
              </w:rPr>
              <w:t>Lower division contact solely with regular faculty; no TAs</w:t>
            </w:r>
          </w:p>
        </w:tc>
        <w:tc>
          <w:tcPr>
            <w:tcW w:w="2700" w:type="dxa"/>
          </w:tcPr>
          <w:p w14:paraId="434B43E1" w14:textId="77777777" w:rsidR="00CF3F5E" w:rsidRPr="003568FB" w:rsidRDefault="00CF3F5E" w:rsidP="009D647C">
            <w:pPr>
              <w:rPr>
                <w:sz w:val="20"/>
                <w:szCs w:val="20"/>
              </w:rPr>
            </w:pPr>
            <w:r w:rsidRPr="003568FB">
              <w:rPr>
                <w:sz w:val="20"/>
                <w:szCs w:val="20"/>
              </w:rPr>
              <w:t>Lower division contact largely with regular faculty</w:t>
            </w:r>
            <w:r>
              <w:rPr>
                <w:sz w:val="20"/>
                <w:szCs w:val="20"/>
              </w:rPr>
              <w:t>--TT and Lecturers</w:t>
            </w:r>
            <w:r w:rsidRPr="003568FB">
              <w:rPr>
                <w:sz w:val="20"/>
                <w:szCs w:val="20"/>
              </w:rPr>
              <w:t>; few TAs</w:t>
            </w:r>
          </w:p>
        </w:tc>
        <w:tc>
          <w:tcPr>
            <w:tcW w:w="2790" w:type="dxa"/>
          </w:tcPr>
          <w:p w14:paraId="3977E761" w14:textId="77777777" w:rsidR="00CF3F5E" w:rsidRPr="003568FB" w:rsidRDefault="00CF3F5E" w:rsidP="009D647C">
            <w:pPr>
              <w:rPr>
                <w:sz w:val="20"/>
                <w:szCs w:val="20"/>
              </w:rPr>
            </w:pPr>
            <w:r w:rsidRPr="003568FB">
              <w:rPr>
                <w:sz w:val="20"/>
                <w:szCs w:val="20"/>
              </w:rPr>
              <w:t xml:space="preserve">Lower division contact primarily with regular faculty but still frequent TAs </w:t>
            </w:r>
          </w:p>
        </w:tc>
        <w:tc>
          <w:tcPr>
            <w:tcW w:w="3150" w:type="dxa"/>
          </w:tcPr>
          <w:p w14:paraId="47F44982" w14:textId="77777777" w:rsidR="00CF3F5E" w:rsidRPr="003568FB" w:rsidRDefault="00CF3F5E" w:rsidP="009D647C">
            <w:pPr>
              <w:rPr>
                <w:sz w:val="20"/>
                <w:szCs w:val="20"/>
              </w:rPr>
            </w:pPr>
            <w:r w:rsidRPr="003568FB">
              <w:rPr>
                <w:sz w:val="20"/>
                <w:szCs w:val="20"/>
              </w:rPr>
              <w:t>Little lower division contact with regular faculty; wholesale use of TAs</w:t>
            </w:r>
          </w:p>
        </w:tc>
      </w:tr>
      <w:tr w:rsidR="00CF3F5E" w14:paraId="74DABAFC" w14:textId="77777777" w:rsidTr="009D647C">
        <w:tc>
          <w:tcPr>
            <w:tcW w:w="2610" w:type="dxa"/>
          </w:tcPr>
          <w:p w14:paraId="106F6340" w14:textId="77777777" w:rsidR="00CF3F5E" w:rsidRPr="003568FB" w:rsidRDefault="00CF3F5E" w:rsidP="009D647C">
            <w:pPr>
              <w:rPr>
                <w:sz w:val="20"/>
                <w:szCs w:val="20"/>
              </w:rPr>
            </w:pPr>
            <w:r>
              <w:rPr>
                <w:sz w:val="20"/>
                <w:szCs w:val="20"/>
              </w:rPr>
              <w:t>Typical default teaching load</w:t>
            </w:r>
          </w:p>
        </w:tc>
        <w:tc>
          <w:tcPr>
            <w:tcW w:w="2790" w:type="dxa"/>
          </w:tcPr>
          <w:p w14:paraId="1C3F45A0" w14:textId="77777777" w:rsidR="00CF3F5E" w:rsidRPr="003568FB" w:rsidRDefault="00CF3F5E" w:rsidP="009D647C">
            <w:pPr>
              <w:rPr>
                <w:sz w:val="20"/>
                <w:szCs w:val="20"/>
              </w:rPr>
            </w:pPr>
            <w:r>
              <w:rPr>
                <w:sz w:val="20"/>
                <w:szCs w:val="20"/>
              </w:rPr>
              <w:t>5/5</w:t>
            </w:r>
          </w:p>
        </w:tc>
        <w:tc>
          <w:tcPr>
            <w:tcW w:w="2700" w:type="dxa"/>
          </w:tcPr>
          <w:p w14:paraId="425EDE85" w14:textId="77777777" w:rsidR="00CF3F5E" w:rsidRPr="00A35FEC" w:rsidRDefault="00CF3F5E" w:rsidP="009D647C">
            <w:pPr>
              <w:rPr>
                <w:sz w:val="20"/>
                <w:szCs w:val="20"/>
              </w:rPr>
            </w:pPr>
            <w:r w:rsidRPr="00A35FEC">
              <w:rPr>
                <w:sz w:val="20"/>
                <w:szCs w:val="20"/>
              </w:rPr>
              <w:t>3/3 to 4/4</w:t>
            </w:r>
          </w:p>
        </w:tc>
        <w:tc>
          <w:tcPr>
            <w:tcW w:w="2790" w:type="dxa"/>
          </w:tcPr>
          <w:p w14:paraId="4C8B7486" w14:textId="77777777" w:rsidR="00CF3F5E" w:rsidRPr="00A35FEC" w:rsidRDefault="00CF3F5E" w:rsidP="009D647C">
            <w:pPr>
              <w:rPr>
                <w:sz w:val="20"/>
                <w:szCs w:val="20"/>
              </w:rPr>
            </w:pPr>
            <w:r w:rsidRPr="00A35FEC">
              <w:rPr>
                <w:sz w:val="20"/>
                <w:szCs w:val="20"/>
              </w:rPr>
              <w:t>2/2 to 3/3</w:t>
            </w:r>
          </w:p>
        </w:tc>
        <w:tc>
          <w:tcPr>
            <w:tcW w:w="3150" w:type="dxa"/>
          </w:tcPr>
          <w:p w14:paraId="1D021B36" w14:textId="77777777" w:rsidR="00CF3F5E" w:rsidRPr="003568FB" w:rsidRDefault="00CF3F5E" w:rsidP="009D647C">
            <w:pPr>
              <w:rPr>
                <w:sz w:val="20"/>
                <w:szCs w:val="20"/>
              </w:rPr>
            </w:pPr>
            <w:r>
              <w:rPr>
                <w:sz w:val="20"/>
                <w:szCs w:val="20"/>
              </w:rPr>
              <w:t>1/2 to 2/2</w:t>
            </w:r>
          </w:p>
        </w:tc>
      </w:tr>
      <w:tr w:rsidR="00CF3F5E" w14:paraId="780DEFC3" w14:textId="77777777" w:rsidTr="009D647C">
        <w:tc>
          <w:tcPr>
            <w:tcW w:w="2610" w:type="dxa"/>
          </w:tcPr>
          <w:p w14:paraId="0644439F" w14:textId="77777777" w:rsidR="00CF3F5E" w:rsidRPr="003568FB" w:rsidRDefault="00CF3F5E" w:rsidP="009D647C">
            <w:pPr>
              <w:rPr>
                <w:sz w:val="20"/>
                <w:szCs w:val="20"/>
              </w:rPr>
            </w:pPr>
            <w:r w:rsidRPr="003568FB">
              <w:rPr>
                <w:sz w:val="20"/>
                <w:szCs w:val="20"/>
              </w:rPr>
              <w:t>Research focus: type</w:t>
            </w:r>
            <w:r>
              <w:rPr>
                <w:sz w:val="20"/>
                <w:szCs w:val="20"/>
              </w:rPr>
              <w:t xml:space="preserve"> of research and publication venue ranking</w:t>
            </w:r>
          </w:p>
        </w:tc>
        <w:tc>
          <w:tcPr>
            <w:tcW w:w="2790" w:type="dxa"/>
          </w:tcPr>
          <w:p w14:paraId="03E2D7CC" w14:textId="77777777" w:rsidR="00CF3F5E" w:rsidRPr="003568FB" w:rsidRDefault="00CF3F5E" w:rsidP="009D647C">
            <w:pPr>
              <w:rPr>
                <w:sz w:val="20"/>
                <w:szCs w:val="20"/>
              </w:rPr>
            </w:pPr>
            <w:r w:rsidRPr="003568FB">
              <w:rPr>
                <w:sz w:val="20"/>
                <w:szCs w:val="20"/>
              </w:rPr>
              <w:t>None</w:t>
            </w:r>
          </w:p>
        </w:tc>
        <w:tc>
          <w:tcPr>
            <w:tcW w:w="2700" w:type="dxa"/>
          </w:tcPr>
          <w:p w14:paraId="307D66F5" w14:textId="77777777" w:rsidR="00CF3F5E" w:rsidRPr="00A35FEC" w:rsidRDefault="00CF3F5E" w:rsidP="009D647C">
            <w:pPr>
              <w:rPr>
                <w:sz w:val="20"/>
                <w:szCs w:val="20"/>
              </w:rPr>
            </w:pPr>
            <w:r w:rsidRPr="00A35FEC">
              <w:rPr>
                <w:sz w:val="20"/>
                <w:szCs w:val="20"/>
              </w:rPr>
              <w:t>Primarily applied and exploratory; limited focus or support for publication in “high-end” journals</w:t>
            </w:r>
          </w:p>
        </w:tc>
        <w:tc>
          <w:tcPr>
            <w:tcW w:w="2790" w:type="dxa"/>
          </w:tcPr>
          <w:p w14:paraId="55E3812C" w14:textId="77777777" w:rsidR="00CF3F5E" w:rsidRPr="00A35FEC" w:rsidRDefault="00CF3F5E" w:rsidP="009D647C">
            <w:pPr>
              <w:rPr>
                <w:sz w:val="18"/>
                <w:szCs w:val="18"/>
              </w:rPr>
            </w:pPr>
            <w:r w:rsidRPr="00A35FEC">
              <w:rPr>
                <w:sz w:val="18"/>
                <w:szCs w:val="18"/>
              </w:rPr>
              <w:t>Mix of applied and cutting-edge; acceptance of modest publication venues but significant recognition and support for publication in “high-end” journals</w:t>
            </w:r>
          </w:p>
        </w:tc>
        <w:tc>
          <w:tcPr>
            <w:tcW w:w="3150" w:type="dxa"/>
          </w:tcPr>
          <w:p w14:paraId="13DF495B" w14:textId="77777777" w:rsidR="00CF3F5E" w:rsidRPr="003568FB" w:rsidRDefault="00CF3F5E" w:rsidP="009D647C">
            <w:pPr>
              <w:rPr>
                <w:sz w:val="20"/>
                <w:szCs w:val="20"/>
              </w:rPr>
            </w:pPr>
            <w:r w:rsidRPr="003568FB">
              <w:rPr>
                <w:sz w:val="20"/>
                <w:szCs w:val="20"/>
              </w:rPr>
              <w:t>Primarily theoretical and cutting-edge</w:t>
            </w:r>
            <w:r>
              <w:rPr>
                <w:sz w:val="20"/>
                <w:szCs w:val="20"/>
              </w:rPr>
              <w:t>; primary focus on highly competitive journals and publishers</w:t>
            </w:r>
          </w:p>
        </w:tc>
      </w:tr>
      <w:tr w:rsidR="00CF3F5E" w14:paraId="319C7254" w14:textId="77777777" w:rsidTr="009D647C">
        <w:tc>
          <w:tcPr>
            <w:tcW w:w="2610" w:type="dxa"/>
          </w:tcPr>
          <w:p w14:paraId="49B40586" w14:textId="77777777" w:rsidR="00CF3F5E" w:rsidRPr="003568FB" w:rsidRDefault="00CF3F5E" w:rsidP="009D647C">
            <w:pPr>
              <w:rPr>
                <w:sz w:val="20"/>
                <w:szCs w:val="20"/>
              </w:rPr>
            </w:pPr>
            <w:r>
              <w:rPr>
                <w:sz w:val="20"/>
                <w:szCs w:val="20"/>
              </w:rPr>
              <w:t>Research focus: external funding (grants)</w:t>
            </w:r>
          </w:p>
        </w:tc>
        <w:tc>
          <w:tcPr>
            <w:tcW w:w="2790" w:type="dxa"/>
          </w:tcPr>
          <w:p w14:paraId="1A44BEEC" w14:textId="77777777" w:rsidR="00CF3F5E" w:rsidRPr="003568FB" w:rsidRDefault="00CF3F5E" w:rsidP="009D647C">
            <w:pPr>
              <w:rPr>
                <w:sz w:val="20"/>
                <w:szCs w:val="20"/>
              </w:rPr>
            </w:pPr>
            <w:r>
              <w:rPr>
                <w:sz w:val="20"/>
                <w:szCs w:val="20"/>
              </w:rPr>
              <w:t>Funding for teaching and students with high support needs</w:t>
            </w:r>
          </w:p>
        </w:tc>
        <w:tc>
          <w:tcPr>
            <w:tcW w:w="2700" w:type="dxa"/>
          </w:tcPr>
          <w:p w14:paraId="5A5D2406" w14:textId="77777777" w:rsidR="00CF3F5E" w:rsidRPr="00A35FEC" w:rsidRDefault="00CF3F5E" w:rsidP="009D647C">
            <w:pPr>
              <w:rPr>
                <w:sz w:val="20"/>
                <w:szCs w:val="20"/>
              </w:rPr>
            </w:pPr>
            <w:r w:rsidRPr="00A35FEC">
              <w:rPr>
                <w:sz w:val="20"/>
                <w:szCs w:val="20"/>
              </w:rPr>
              <w:t>Most funding for teaching, students with high support needs, and applied projects</w:t>
            </w:r>
          </w:p>
        </w:tc>
        <w:tc>
          <w:tcPr>
            <w:tcW w:w="2790" w:type="dxa"/>
          </w:tcPr>
          <w:p w14:paraId="423BCE2D" w14:textId="77777777" w:rsidR="00CF3F5E" w:rsidRPr="00A35FEC" w:rsidRDefault="00CF3F5E" w:rsidP="009D647C">
            <w:pPr>
              <w:rPr>
                <w:sz w:val="20"/>
                <w:szCs w:val="20"/>
              </w:rPr>
            </w:pPr>
            <w:r w:rsidRPr="00A35FEC">
              <w:rPr>
                <w:sz w:val="20"/>
                <w:szCs w:val="20"/>
              </w:rPr>
              <w:t>Funding balanced between teaching, students with high support needs, applied projects, and basic research</w:t>
            </w:r>
          </w:p>
        </w:tc>
        <w:tc>
          <w:tcPr>
            <w:tcW w:w="3150" w:type="dxa"/>
          </w:tcPr>
          <w:p w14:paraId="0B615F94" w14:textId="77777777" w:rsidR="00CF3F5E" w:rsidRPr="003568FB" w:rsidRDefault="00CF3F5E" w:rsidP="009D647C">
            <w:pPr>
              <w:rPr>
                <w:sz w:val="20"/>
                <w:szCs w:val="20"/>
              </w:rPr>
            </w:pPr>
            <w:r>
              <w:rPr>
                <w:sz w:val="20"/>
                <w:szCs w:val="20"/>
              </w:rPr>
              <w:t>Minimal funding for undergrad teaching, extensive funding for doctoral students, focus on basic research</w:t>
            </w:r>
          </w:p>
        </w:tc>
      </w:tr>
      <w:tr w:rsidR="00CF3F5E" w14:paraId="75012F35" w14:textId="77777777" w:rsidTr="009D647C">
        <w:tc>
          <w:tcPr>
            <w:tcW w:w="2610" w:type="dxa"/>
          </w:tcPr>
          <w:p w14:paraId="59DAD7E1" w14:textId="77777777" w:rsidR="00CF3F5E" w:rsidRPr="003568FB" w:rsidRDefault="00CF3F5E" w:rsidP="009D647C">
            <w:pPr>
              <w:rPr>
                <w:sz w:val="20"/>
                <w:szCs w:val="20"/>
              </w:rPr>
            </w:pPr>
            <w:r w:rsidRPr="003568FB">
              <w:rPr>
                <w:sz w:val="20"/>
                <w:szCs w:val="20"/>
              </w:rPr>
              <w:lastRenderedPageBreak/>
              <w:t>Faculty compensation: distribution</w:t>
            </w:r>
          </w:p>
        </w:tc>
        <w:tc>
          <w:tcPr>
            <w:tcW w:w="2790" w:type="dxa"/>
          </w:tcPr>
          <w:p w14:paraId="3B98CB00" w14:textId="77777777" w:rsidR="00CF3F5E" w:rsidRPr="003568FB" w:rsidRDefault="00CF3F5E" w:rsidP="009D647C">
            <w:pPr>
              <w:rPr>
                <w:sz w:val="20"/>
                <w:szCs w:val="20"/>
              </w:rPr>
            </w:pPr>
            <w:r w:rsidRPr="003568FB">
              <w:rPr>
                <w:sz w:val="20"/>
                <w:szCs w:val="20"/>
              </w:rPr>
              <w:t>Relatively flat; no research merit</w:t>
            </w:r>
          </w:p>
        </w:tc>
        <w:tc>
          <w:tcPr>
            <w:tcW w:w="2700" w:type="dxa"/>
          </w:tcPr>
          <w:p w14:paraId="6FB086EE" w14:textId="77777777" w:rsidR="00CF3F5E" w:rsidRPr="00A35FEC" w:rsidRDefault="00CF3F5E" w:rsidP="009D647C">
            <w:pPr>
              <w:rPr>
                <w:sz w:val="20"/>
                <w:szCs w:val="20"/>
              </w:rPr>
            </w:pPr>
            <w:r w:rsidRPr="00A35FEC">
              <w:rPr>
                <w:sz w:val="20"/>
                <w:szCs w:val="20"/>
              </w:rPr>
              <w:t>Relatively flat; some research merit at promotions, little or no super ranks</w:t>
            </w:r>
          </w:p>
        </w:tc>
        <w:tc>
          <w:tcPr>
            <w:tcW w:w="2790" w:type="dxa"/>
          </w:tcPr>
          <w:p w14:paraId="623540AF" w14:textId="77777777" w:rsidR="00CF3F5E" w:rsidRPr="00A35FEC" w:rsidRDefault="00CF3F5E" w:rsidP="009D647C">
            <w:pPr>
              <w:rPr>
                <w:sz w:val="20"/>
                <w:szCs w:val="20"/>
              </w:rPr>
            </w:pPr>
            <w:r w:rsidRPr="00A35FEC">
              <w:rPr>
                <w:sz w:val="20"/>
                <w:szCs w:val="20"/>
              </w:rPr>
              <w:t>Mixed; significant research merit at promotions, with counter offers, and with occasional use of super ranks</w:t>
            </w:r>
          </w:p>
        </w:tc>
        <w:tc>
          <w:tcPr>
            <w:tcW w:w="3150" w:type="dxa"/>
          </w:tcPr>
          <w:p w14:paraId="2FFF6CE4" w14:textId="77777777" w:rsidR="00CF3F5E" w:rsidRPr="003568FB" w:rsidRDefault="00CF3F5E" w:rsidP="009D647C">
            <w:pPr>
              <w:rPr>
                <w:sz w:val="20"/>
                <w:szCs w:val="20"/>
              </w:rPr>
            </w:pPr>
            <w:r w:rsidRPr="003568FB">
              <w:rPr>
                <w:sz w:val="20"/>
                <w:szCs w:val="20"/>
              </w:rPr>
              <w:t xml:space="preserve">Quite differentiated; widespread use of merit and super ranks to elevate the pay of some faculty </w:t>
            </w:r>
            <w:r w:rsidRPr="00CE500D">
              <w:rPr>
                <w:sz w:val="16"/>
                <w:szCs w:val="16"/>
              </w:rPr>
              <w:t>(endowed chairs, regents or “university” professors)</w:t>
            </w:r>
          </w:p>
        </w:tc>
      </w:tr>
    </w:tbl>
    <w:p w14:paraId="497CEFED" w14:textId="77777777" w:rsidR="00CF3F5E" w:rsidRPr="007D2C84" w:rsidRDefault="00CF3F5E" w:rsidP="005531C8">
      <w:pPr>
        <w:rPr>
          <w:sz w:val="18"/>
          <w:szCs w:val="18"/>
        </w:rPr>
      </w:pPr>
      <w:r w:rsidRPr="007D2C84">
        <w:rPr>
          <w:sz w:val="18"/>
          <w:szCs w:val="18"/>
        </w:rPr>
        <w:t>Notes: To the degree that institutions serve different missions, they should be conceived as a spectrum</w:t>
      </w:r>
      <w:r>
        <w:rPr>
          <w:sz w:val="18"/>
          <w:szCs w:val="18"/>
        </w:rPr>
        <w:t xml:space="preserve">—not </w:t>
      </w:r>
      <w:r w:rsidRPr="007D2C84">
        <w:rPr>
          <w:sz w:val="18"/>
          <w:szCs w:val="18"/>
        </w:rPr>
        <w:t>a hierarchy</w:t>
      </w:r>
      <w:r>
        <w:rPr>
          <w:sz w:val="18"/>
          <w:szCs w:val="18"/>
        </w:rPr>
        <w:t xml:space="preserve"> or ranking</w:t>
      </w:r>
      <w:r w:rsidRPr="007D2C84">
        <w:rPr>
          <w:sz w:val="18"/>
          <w:szCs w:val="18"/>
        </w:rPr>
        <w:t>. Functionally, CSUSB is quite consistent with the Public Teaching Institution type. Large-scale movement to an R2 status is inconsistent with the institutional mission; modest adaptation of R2 of some characteristics</w:t>
      </w:r>
      <w:r>
        <w:rPr>
          <w:sz w:val="18"/>
          <w:szCs w:val="18"/>
        </w:rPr>
        <w:t xml:space="preserve"> is possible</w:t>
      </w:r>
      <w:r w:rsidRPr="007D2C84">
        <w:rPr>
          <w:sz w:val="18"/>
          <w:szCs w:val="18"/>
        </w:rPr>
        <w:t xml:space="preserve"> with careful institutional planning</w:t>
      </w:r>
      <w:r>
        <w:rPr>
          <w:sz w:val="18"/>
          <w:szCs w:val="18"/>
        </w:rPr>
        <w:t xml:space="preserve"> utilizing a shared governance model. </w:t>
      </w:r>
      <w:r w:rsidRPr="007D2C84">
        <w:rPr>
          <w:sz w:val="18"/>
          <w:szCs w:val="18"/>
        </w:rPr>
        <w:t xml:space="preserve"> </w:t>
      </w:r>
      <w:r>
        <w:rPr>
          <w:sz w:val="18"/>
          <w:szCs w:val="18"/>
        </w:rPr>
        <w:t xml:space="preserve">Because of their large endowments, prestigious private universities have different functional models. </w:t>
      </w:r>
    </w:p>
    <w:bookmarkEnd w:id="0"/>
    <w:p w14:paraId="590D31AF" w14:textId="77777777" w:rsidR="00CF3F5E" w:rsidRDefault="00CF3F5E" w:rsidP="005531C8"/>
    <w:p w14:paraId="6A37F790" w14:textId="77777777" w:rsidR="00CF3F5E" w:rsidRDefault="00CF3F5E" w:rsidP="004618D9">
      <w:pPr>
        <w:shd w:val="clear" w:color="auto" w:fill="FFFFFF"/>
        <w:spacing w:after="0" w:line="240" w:lineRule="auto"/>
        <w:jc w:val="center"/>
        <w:rPr>
          <w:rFonts w:eastAsia="Times New Roman" w:cstheme="minorHAnsi"/>
          <w:b/>
          <w:bCs/>
          <w:sz w:val="24"/>
          <w:szCs w:val="24"/>
        </w:rPr>
      </w:pPr>
      <w:r>
        <w:rPr>
          <w:rFonts w:eastAsia="Times New Roman" w:cstheme="minorHAnsi"/>
          <w:b/>
          <w:bCs/>
          <w:sz w:val="24"/>
          <w:szCs w:val="24"/>
        </w:rPr>
        <w:br w:type="page"/>
      </w:r>
    </w:p>
    <w:p w14:paraId="00214C39" w14:textId="77777777" w:rsidR="00CF3F5E" w:rsidRDefault="00CF3F5E" w:rsidP="004618D9">
      <w:pPr>
        <w:shd w:val="clear" w:color="auto" w:fill="FFFFFF"/>
        <w:spacing w:after="0" w:line="240" w:lineRule="auto"/>
        <w:jc w:val="center"/>
        <w:rPr>
          <w:rFonts w:eastAsia="Times New Roman" w:cstheme="minorHAnsi"/>
          <w:b/>
          <w:bCs/>
          <w:sz w:val="24"/>
          <w:szCs w:val="24"/>
        </w:rPr>
        <w:sectPr w:rsidR="00CF3F5E" w:rsidSect="004618D9">
          <w:pgSz w:w="15840" w:h="12240" w:orient="landscape"/>
          <w:pgMar w:top="1440" w:right="1440" w:bottom="1440" w:left="1440" w:header="720" w:footer="720" w:gutter="0"/>
          <w:cols w:space="720"/>
          <w:docGrid w:linePitch="360"/>
        </w:sectPr>
      </w:pPr>
    </w:p>
    <w:p w14:paraId="1875D251" w14:textId="77777777" w:rsidR="00CF3F5E" w:rsidRPr="005531C8" w:rsidRDefault="00CF3F5E" w:rsidP="004618D9">
      <w:pPr>
        <w:shd w:val="clear" w:color="auto" w:fill="FFFFFF"/>
        <w:spacing w:after="0" w:line="240" w:lineRule="auto"/>
        <w:jc w:val="center"/>
        <w:rPr>
          <w:rFonts w:eastAsia="Times New Roman" w:cstheme="minorHAnsi"/>
          <w:b/>
          <w:bCs/>
          <w:sz w:val="24"/>
          <w:szCs w:val="24"/>
        </w:rPr>
      </w:pPr>
      <w:r>
        <w:rPr>
          <w:rFonts w:eastAsia="Times New Roman" w:cstheme="minorHAnsi"/>
          <w:b/>
          <w:bCs/>
          <w:sz w:val="24"/>
          <w:szCs w:val="24"/>
        </w:rPr>
        <w:lastRenderedPageBreak/>
        <w:t xml:space="preserve">Appendix </w:t>
      </w:r>
      <w:r w:rsidRPr="005531C8">
        <w:rPr>
          <w:rFonts w:eastAsia="Times New Roman" w:cstheme="minorHAnsi"/>
          <w:b/>
          <w:bCs/>
          <w:sz w:val="24"/>
          <w:szCs w:val="24"/>
        </w:rPr>
        <w:t>E</w:t>
      </w:r>
    </w:p>
    <w:p w14:paraId="7B123C53" w14:textId="77777777" w:rsidR="00CF3F5E" w:rsidRDefault="00CF3F5E" w:rsidP="00436E5B">
      <w:pPr>
        <w:shd w:val="clear" w:color="auto" w:fill="FFFFFF"/>
        <w:spacing w:after="0" w:line="240" w:lineRule="auto"/>
        <w:rPr>
          <w:rFonts w:eastAsia="Times New Roman" w:cstheme="minorHAnsi"/>
          <w:b/>
          <w:bCs/>
          <w:sz w:val="24"/>
          <w:szCs w:val="24"/>
          <w:u w:val="single"/>
        </w:rPr>
      </w:pPr>
    </w:p>
    <w:p w14:paraId="05A12EA1" w14:textId="77777777" w:rsidR="00CF3F5E" w:rsidRPr="000C26E2" w:rsidRDefault="00CF3F5E" w:rsidP="00436E5B">
      <w:pPr>
        <w:shd w:val="clear" w:color="auto" w:fill="FFFFFF"/>
        <w:spacing w:after="0" w:line="240" w:lineRule="auto"/>
        <w:rPr>
          <w:rFonts w:eastAsia="Times New Roman" w:cstheme="minorHAnsi"/>
          <w:sz w:val="24"/>
          <w:szCs w:val="24"/>
        </w:rPr>
      </w:pPr>
      <w:r w:rsidRPr="000C26E2">
        <w:rPr>
          <w:rFonts w:eastAsia="Times New Roman" w:cstheme="minorHAnsi"/>
          <w:sz w:val="24"/>
          <w:szCs w:val="24"/>
        </w:rPr>
        <w:t xml:space="preserve">Opinions of 19 Highly Productive Faculty </w:t>
      </w:r>
      <w:r>
        <w:rPr>
          <w:rFonts w:eastAsia="Times New Roman" w:cstheme="minorHAnsi"/>
          <w:sz w:val="24"/>
          <w:szCs w:val="24"/>
        </w:rPr>
        <w:t>Across</w:t>
      </w:r>
      <w:r w:rsidRPr="000C26E2">
        <w:rPr>
          <w:rFonts w:eastAsia="Times New Roman" w:cstheme="minorHAnsi"/>
          <w:sz w:val="24"/>
          <w:szCs w:val="24"/>
        </w:rPr>
        <w:t xml:space="preserve"> Colleges</w:t>
      </w:r>
      <w:r>
        <w:rPr>
          <w:rFonts w:eastAsia="Times New Roman" w:cstheme="minorHAnsi"/>
          <w:sz w:val="24"/>
          <w:szCs w:val="24"/>
        </w:rPr>
        <w:t>*, November 2022 through January 2023**</w:t>
      </w:r>
    </w:p>
    <w:p w14:paraId="13868087" w14:textId="77777777" w:rsidR="00CF3F5E" w:rsidRPr="00D32286" w:rsidRDefault="00CF3F5E" w:rsidP="00436E5B">
      <w:pPr>
        <w:shd w:val="clear" w:color="auto" w:fill="FFFFFF"/>
        <w:spacing w:after="0" w:line="240" w:lineRule="auto"/>
        <w:rPr>
          <w:rFonts w:eastAsia="Times New Roman" w:cstheme="minorHAnsi"/>
        </w:rPr>
      </w:pPr>
    </w:p>
    <w:p w14:paraId="29FD6AB3" w14:textId="77777777" w:rsidR="00CF3F5E" w:rsidRPr="004946FB" w:rsidRDefault="00CF3F5E" w:rsidP="00CF3F5E">
      <w:pPr>
        <w:numPr>
          <w:ilvl w:val="0"/>
          <w:numId w:val="24"/>
        </w:numPr>
        <w:shd w:val="clear" w:color="auto" w:fill="FFFFFF"/>
        <w:spacing w:after="0" w:line="240" w:lineRule="auto"/>
        <w:rPr>
          <w:rFonts w:eastAsia="Times New Roman" w:cstheme="minorHAnsi"/>
          <w:b/>
          <w:bCs/>
        </w:rPr>
      </w:pPr>
      <w:r w:rsidRPr="00D32286">
        <w:rPr>
          <w:rFonts w:eastAsia="Times New Roman" w:cstheme="minorHAnsi"/>
          <w:b/>
          <w:bCs/>
          <w:bdr w:val="none" w:sz="0" w:space="0" w:color="auto" w:frame="1"/>
        </w:rPr>
        <w:t>What is your </w:t>
      </w:r>
      <w:r w:rsidRPr="00D32286">
        <w:rPr>
          <w:rFonts w:eastAsia="Times New Roman" w:cstheme="minorHAnsi"/>
          <w:b/>
          <w:bCs/>
          <w:i/>
          <w:iCs/>
          <w:bdr w:val="none" w:sz="0" w:space="0" w:color="auto" w:frame="1"/>
        </w:rPr>
        <w:t>current teaching load</w:t>
      </w:r>
      <w:r w:rsidRPr="00D32286">
        <w:rPr>
          <w:rFonts w:eastAsia="Times New Roman" w:cstheme="minorHAnsi"/>
          <w:b/>
          <w:bCs/>
          <w:bdr w:val="none" w:sz="0" w:space="0" w:color="auto" w:frame="1"/>
        </w:rPr>
        <w:t> this year for the fall and for the spring? Did you get assign time based on research mini-grants, college/departmental reductions based on research productivity, or reassign time from external grants? </w:t>
      </w:r>
    </w:p>
    <w:p w14:paraId="79F31C95" w14:textId="77777777" w:rsidR="00CF3F5E" w:rsidRPr="00135BB3" w:rsidRDefault="00CF3F5E" w:rsidP="00436E5B">
      <w:pPr>
        <w:shd w:val="clear" w:color="auto" w:fill="FFFFFF"/>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 xml:space="preserve">All 19 faculty in this nonrandom sample indicated that they contractually and </w:t>
      </w:r>
      <w:r>
        <w:rPr>
          <w:rFonts w:eastAsia="Times New Roman" w:cstheme="minorHAnsi"/>
          <w:bdr w:val="none" w:sz="0" w:space="0" w:color="auto" w:frame="1"/>
        </w:rPr>
        <w:t>functionally</w:t>
      </w:r>
      <w:r w:rsidRPr="00135BB3">
        <w:rPr>
          <w:rFonts w:eastAsia="Times New Roman" w:cstheme="minorHAnsi"/>
          <w:bdr w:val="none" w:sz="0" w:space="0" w:color="auto" w:frame="1"/>
        </w:rPr>
        <w:t xml:space="preserve"> have a 4/4 (24 unit) workload (not including six units for service). One respondent was a chair and two had sabbaticals during the current year. Overall, based on an 8-course load, the average was:</w:t>
      </w:r>
    </w:p>
    <w:p w14:paraId="7E9C6BDF" w14:textId="77777777" w:rsidR="00CF3F5E" w:rsidRPr="00135BB3" w:rsidRDefault="00CF3F5E" w:rsidP="00436E5B">
      <w:pPr>
        <w:shd w:val="clear" w:color="auto" w:fill="FFFFFF"/>
        <w:spacing w:after="0" w:line="240" w:lineRule="auto"/>
        <w:ind w:left="720"/>
        <w:rPr>
          <w:rFonts w:eastAsia="Times New Roman" w:cstheme="minorHAnsi"/>
          <w:bdr w:val="none" w:sz="0" w:space="0" w:color="auto" w:frame="1"/>
        </w:rPr>
      </w:pPr>
      <w:r w:rsidRPr="00135BB3">
        <w:rPr>
          <w:rFonts w:eastAsia="Times New Roman" w:cstheme="minorHAnsi"/>
          <w:bdr w:val="none" w:sz="0" w:space="0" w:color="auto" w:frame="1"/>
        </w:rPr>
        <w:t>Teaching:  5.3</w:t>
      </w:r>
    </w:p>
    <w:p w14:paraId="51E35201" w14:textId="77777777" w:rsidR="00CF3F5E" w:rsidRPr="00135BB3" w:rsidRDefault="00CF3F5E" w:rsidP="00436E5B">
      <w:pPr>
        <w:shd w:val="clear" w:color="auto" w:fill="FFFFFF"/>
        <w:spacing w:after="0" w:line="240" w:lineRule="auto"/>
        <w:ind w:left="720"/>
        <w:rPr>
          <w:rFonts w:eastAsia="Times New Roman" w:cstheme="minorHAnsi"/>
          <w:bdr w:val="none" w:sz="0" w:space="0" w:color="auto" w:frame="1"/>
        </w:rPr>
      </w:pPr>
      <w:r w:rsidRPr="00135BB3">
        <w:rPr>
          <w:rFonts w:eastAsia="Times New Roman" w:cstheme="minorHAnsi"/>
          <w:bdr w:val="none" w:sz="0" w:space="0" w:color="auto" w:frame="1"/>
        </w:rPr>
        <w:t>Administrative (e.g., graduate advisor):</w:t>
      </w:r>
      <w:r>
        <w:rPr>
          <w:rFonts w:eastAsia="Times New Roman" w:cstheme="minorHAnsi"/>
          <w:bdr w:val="none" w:sz="0" w:space="0" w:color="auto" w:frame="1"/>
        </w:rPr>
        <w:t xml:space="preserve"> </w:t>
      </w:r>
      <w:r w:rsidRPr="00135BB3">
        <w:rPr>
          <w:rFonts w:eastAsia="Times New Roman" w:cstheme="minorHAnsi"/>
          <w:bdr w:val="none" w:sz="0" w:space="0" w:color="auto" w:frame="1"/>
        </w:rPr>
        <w:t xml:space="preserve"> 1.2</w:t>
      </w:r>
    </w:p>
    <w:p w14:paraId="18CDE448" w14:textId="77777777" w:rsidR="00CF3F5E" w:rsidRPr="00135BB3" w:rsidRDefault="00CF3F5E" w:rsidP="00436E5B">
      <w:pPr>
        <w:shd w:val="clear" w:color="auto" w:fill="FFFFFF"/>
        <w:spacing w:after="0" w:line="240" w:lineRule="auto"/>
        <w:ind w:left="720"/>
        <w:rPr>
          <w:rFonts w:eastAsia="Times New Roman" w:cstheme="minorHAnsi"/>
          <w:bdr w:val="none" w:sz="0" w:space="0" w:color="auto" w:frame="1"/>
        </w:rPr>
      </w:pPr>
      <w:r w:rsidRPr="00135BB3">
        <w:rPr>
          <w:rFonts w:eastAsia="Times New Roman" w:cstheme="minorHAnsi"/>
          <w:bdr w:val="none" w:sz="0" w:space="0" w:color="auto" w:frame="1"/>
        </w:rPr>
        <w:t xml:space="preserve">Release for </w:t>
      </w:r>
      <w:r>
        <w:rPr>
          <w:rFonts w:eastAsia="Times New Roman" w:cstheme="minorHAnsi"/>
          <w:bdr w:val="none" w:sz="0" w:space="0" w:color="auto" w:frame="1"/>
        </w:rPr>
        <w:t xml:space="preserve">funded </w:t>
      </w:r>
      <w:r w:rsidRPr="00135BB3">
        <w:rPr>
          <w:rFonts w:eastAsia="Times New Roman" w:cstheme="minorHAnsi"/>
          <w:bdr w:val="none" w:sz="0" w:space="0" w:color="auto" w:frame="1"/>
        </w:rPr>
        <w:t xml:space="preserve">grants: </w:t>
      </w:r>
      <w:r>
        <w:rPr>
          <w:rFonts w:eastAsia="Times New Roman" w:cstheme="minorHAnsi"/>
          <w:bdr w:val="none" w:sz="0" w:space="0" w:color="auto" w:frame="1"/>
        </w:rPr>
        <w:t xml:space="preserve"> 0</w:t>
      </w:r>
      <w:r w:rsidRPr="00135BB3">
        <w:rPr>
          <w:rFonts w:eastAsia="Times New Roman" w:cstheme="minorHAnsi"/>
          <w:bdr w:val="none" w:sz="0" w:space="0" w:color="auto" w:frame="1"/>
        </w:rPr>
        <w:t>.7</w:t>
      </w:r>
    </w:p>
    <w:p w14:paraId="2DBB518F" w14:textId="77777777" w:rsidR="00CF3F5E" w:rsidRPr="00135BB3" w:rsidRDefault="00CF3F5E" w:rsidP="00436E5B">
      <w:pPr>
        <w:shd w:val="clear" w:color="auto" w:fill="FFFFFF"/>
        <w:spacing w:after="0" w:line="240" w:lineRule="auto"/>
        <w:ind w:left="720"/>
        <w:rPr>
          <w:rFonts w:eastAsia="Times New Roman" w:cstheme="minorHAnsi"/>
          <w:bdr w:val="none" w:sz="0" w:space="0" w:color="auto" w:frame="1"/>
        </w:rPr>
      </w:pPr>
      <w:r w:rsidRPr="00135BB3">
        <w:rPr>
          <w:rFonts w:eastAsia="Times New Roman" w:cstheme="minorHAnsi"/>
          <w:bdr w:val="none" w:sz="0" w:space="0" w:color="auto" w:frame="1"/>
        </w:rPr>
        <w:t xml:space="preserve">Release specifically for research: </w:t>
      </w:r>
      <w:r>
        <w:rPr>
          <w:rFonts w:eastAsia="Times New Roman" w:cstheme="minorHAnsi"/>
          <w:bdr w:val="none" w:sz="0" w:space="0" w:color="auto" w:frame="1"/>
        </w:rPr>
        <w:t xml:space="preserve"> 0</w:t>
      </w:r>
      <w:r w:rsidRPr="00135BB3">
        <w:rPr>
          <w:rFonts w:eastAsia="Times New Roman" w:cstheme="minorHAnsi"/>
          <w:bdr w:val="none" w:sz="0" w:space="0" w:color="auto" w:frame="1"/>
        </w:rPr>
        <w:t>.4</w:t>
      </w:r>
    </w:p>
    <w:p w14:paraId="0634A5A8" w14:textId="77777777" w:rsidR="00CF3F5E" w:rsidRPr="00135BB3" w:rsidRDefault="00CF3F5E" w:rsidP="00436E5B">
      <w:pPr>
        <w:shd w:val="clear" w:color="auto" w:fill="FFFFFF"/>
        <w:spacing w:after="0" w:line="240" w:lineRule="auto"/>
        <w:ind w:left="720"/>
        <w:rPr>
          <w:rFonts w:eastAsia="Times New Roman" w:cstheme="minorHAnsi"/>
          <w:bdr w:val="none" w:sz="0" w:space="0" w:color="auto" w:frame="1"/>
        </w:rPr>
      </w:pPr>
      <w:r w:rsidRPr="00135BB3">
        <w:rPr>
          <w:rFonts w:eastAsia="Times New Roman" w:cstheme="minorHAnsi"/>
          <w:bdr w:val="none" w:sz="0" w:space="0" w:color="auto" w:frame="1"/>
        </w:rPr>
        <w:t xml:space="preserve">Release for sabbatical:  </w:t>
      </w:r>
      <w:r>
        <w:rPr>
          <w:rFonts w:eastAsia="Times New Roman" w:cstheme="minorHAnsi"/>
          <w:bdr w:val="none" w:sz="0" w:space="0" w:color="auto" w:frame="1"/>
        </w:rPr>
        <w:t>0</w:t>
      </w:r>
      <w:r w:rsidRPr="00135BB3">
        <w:rPr>
          <w:rFonts w:eastAsia="Times New Roman" w:cstheme="minorHAnsi"/>
          <w:bdr w:val="none" w:sz="0" w:space="0" w:color="auto" w:frame="1"/>
        </w:rPr>
        <w:t>.4</w:t>
      </w:r>
    </w:p>
    <w:p w14:paraId="2CC3D52E" w14:textId="77777777" w:rsidR="00CF3F5E" w:rsidRPr="00135BB3" w:rsidRDefault="00CF3F5E" w:rsidP="00436E5B">
      <w:pPr>
        <w:shd w:val="clear" w:color="auto" w:fill="FFFFFF"/>
        <w:spacing w:after="0" w:line="240" w:lineRule="auto"/>
        <w:ind w:left="720"/>
        <w:rPr>
          <w:rFonts w:eastAsia="Times New Roman" w:cstheme="minorHAnsi"/>
        </w:rPr>
      </w:pPr>
      <w:r w:rsidRPr="00135BB3">
        <w:rPr>
          <w:rFonts w:eastAsia="Times New Roman" w:cstheme="minorHAnsi"/>
          <w:bdr w:val="none" w:sz="0" w:space="0" w:color="auto" w:frame="1"/>
        </w:rPr>
        <w:t xml:space="preserve">Total: </w:t>
      </w:r>
      <w:r>
        <w:rPr>
          <w:rFonts w:eastAsia="Times New Roman" w:cstheme="minorHAnsi"/>
          <w:bdr w:val="none" w:sz="0" w:space="0" w:color="auto" w:frame="1"/>
        </w:rPr>
        <w:t xml:space="preserve"> </w:t>
      </w:r>
      <w:r w:rsidRPr="00135BB3">
        <w:rPr>
          <w:rFonts w:eastAsia="Times New Roman" w:cstheme="minorHAnsi"/>
          <w:bdr w:val="none" w:sz="0" w:space="0" w:color="auto" w:frame="1"/>
        </w:rPr>
        <w:t>8.0 course equivalents</w:t>
      </w:r>
    </w:p>
    <w:p w14:paraId="6FD6138F" w14:textId="77777777" w:rsidR="00CF3F5E" w:rsidRPr="00135BB3" w:rsidRDefault="00CF3F5E" w:rsidP="00436E5B">
      <w:pPr>
        <w:shd w:val="clear" w:color="auto" w:fill="FFFFFF"/>
        <w:spacing w:after="0" w:line="240" w:lineRule="auto"/>
        <w:ind w:left="360"/>
        <w:rPr>
          <w:rFonts w:eastAsia="Times New Roman" w:cstheme="minorHAnsi"/>
        </w:rPr>
      </w:pPr>
    </w:p>
    <w:p w14:paraId="02B94A97" w14:textId="77777777" w:rsidR="00CF3F5E" w:rsidRPr="000A28D8" w:rsidRDefault="00CF3F5E" w:rsidP="00CF3F5E">
      <w:pPr>
        <w:numPr>
          <w:ilvl w:val="0"/>
          <w:numId w:val="25"/>
        </w:numPr>
        <w:shd w:val="clear" w:color="auto" w:fill="FFFFFF"/>
        <w:tabs>
          <w:tab w:val="num" w:pos="720"/>
        </w:tabs>
        <w:spacing w:after="0" w:line="240" w:lineRule="auto"/>
        <w:rPr>
          <w:rFonts w:eastAsia="Times New Roman" w:cstheme="minorHAnsi"/>
          <w:b/>
          <w:bCs/>
        </w:rPr>
      </w:pPr>
      <w:r w:rsidRPr="00D32286">
        <w:rPr>
          <w:rFonts w:eastAsia="Times New Roman" w:cstheme="minorHAnsi"/>
          <w:b/>
          <w:bCs/>
          <w:bdr w:val="none" w:sz="0" w:space="0" w:color="auto" w:frame="1"/>
        </w:rPr>
        <w:t>Given our role as a teaching/research institution and now R2 institution, do you feel that your teaching load is </w:t>
      </w:r>
      <w:r w:rsidRPr="00D32286">
        <w:rPr>
          <w:rFonts w:eastAsia="Times New Roman" w:cstheme="minorHAnsi"/>
          <w:b/>
          <w:bCs/>
          <w:i/>
          <w:iCs/>
          <w:bdr w:val="none" w:sz="0" w:space="0" w:color="auto" w:frame="1"/>
        </w:rPr>
        <w:t>appropriate</w:t>
      </w:r>
      <w:r w:rsidRPr="00D32286">
        <w:rPr>
          <w:rFonts w:eastAsia="Times New Roman" w:cstheme="minorHAnsi"/>
          <w:b/>
          <w:bCs/>
          <w:bdr w:val="none" w:sz="0" w:space="0" w:color="auto" w:frame="1"/>
        </w:rPr>
        <w:t>? </w:t>
      </w:r>
    </w:p>
    <w:p w14:paraId="196F3D3A" w14:textId="77777777" w:rsidR="00CF3F5E" w:rsidRDefault="00CF3F5E" w:rsidP="00436E5B">
      <w:pPr>
        <w:shd w:val="clear" w:color="auto" w:fill="FFFFFF"/>
        <w:tabs>
          <w:tab w:val="num" w:pos="720"/>
        </w:tabs>
        <w:spacing w:after="0" w:line="240" w:lineRule="auto"/>
        <w:ind w:left="360"/>
        <w:rPr>
          <w:rFonts w:eastAsia="Times New Roman" w:cstheme="minorHAnsi"/>
        </w:rPr>
      </w:pPr>
      <w:r>
        <w:rPr>
          <w:rFonts w:eastAsia="Times New Roman" w:cstheme="minorHAnsi"/>
        </w:rPr>
        <w:t>Our teaching load is appropriate…</w:t>
      </w:r>
      <w:r w:rsidRPr="00135BB3">
        <w:rPr>
          <w:rFonts w:eastAsia="Times New Roman" w:cstheme="minorHAnsi"/>
        </w:rPr>
        <w:t xml:space="preserve"> </w:t>
      </w:r>
    </w:p>
    <w:p w14:paraId="5B8CA0A7" w14:textId="77777777" w:rsidR="00CF3F5E" w:rsidRPr="00135BB3" w:rsidRDefault="00CF3F5E" w:rsidP="00436E5B">
      <w:pPr>
        <w:shd w:val="clear" w:color="auto" w:fill="FFFFFF"/>
        <w:tabs>
          <w:tab w:val="num" w:pos="720"/>
        </w:tabs>
        <w:spacing w:after="0" w:line="240" w:lineRule="auto"/>
        <w:ind w:left="360"/>
        <w:rPr>
          <w:rFonts w:eastAsia="Times New Roman" w:cstheme="minorHAnsi"/>
        </w:rPr>
      </w:pPr>
      <w:r w:rsidRPr="00135BB3">
        <w:rPr>
          <w:rFonts w:eastAsia="Times New Roman" w:cstheme="minorHAnsi"/>
        </w:rPr>
        <w:t>Yes</w:t>
      </w:r>
      <w:r>
        <w:rPr>
          <w:rFonts w:eastAsia="Times New Roman" w:cstheme="minorHAnsi"/>
        </w:rPr>
        <w:t xml:space="preserve">, </w:t>
      </w:r>
      <w:r w:rsidRPr="00135BB3">
        <w:rPr>
          <w:rFonts w:eastAsia="Times New Roman" w:cstheme="minorHAnsi"/>
        </w:rPr>
        <w:t>unqualified:  1</w:t>
      </w:r>
    </w:p>
    <w:p w14:paraId="3CFC1B8E" w14:textId="77777777" w:rsidR="00CF3F5E" w:rsidRPr="00135BB3" w:rsidRDefault="00CF3F5E" w:rsidP="00436E5B">
      <w:pPr>
        <w:shd w:val="clear" w:color="auto" w:fill="FFFFFF"/>
        <w:tabs>
          <w:tab w:val="num" w:pos="720"/>
        </w:tabs>
        <w:spacing w:after="0" w:line="240" w:lineRule="auto"/>
        <w:ind w:left="360"/>
        <w:rPr>
          <w:rFonts w:eastAsia="Times New Roman" w:cstheme="minorHAnsi"/>
        </w:rPr>
      </w:pPr>
      <w:r w:rsidRPr="00135BB3">
        <w:rPr>
          <w:rFonts w:eastAsia="Times New Roman" w:cstheme="minorHAnsi"/>
        </w:rPr>
        <w:t>Yes, qualified:  3</w:t>
      </w:r>
    </w:p>
    <w:p w14:paraId="2EB9FE37" w14:textId="77777777" w:rsidR="00CF3F5E" w:rsidRPr="00135BB3" w:rsidRDefault="00CF3F5E" w:rsidP="00436E5B">
      <w:pPr>
        <w:shd w:val="clear" w:color="auto" w:fill="FFFFFF"/>
        <w:tabs>
          <w:tab w:val="num" w:pos="720"/>
        </w:tabs>
        <w:spacing w:after="0" w:line="240" w:lineRule="auto"/>
        <w:ind w:left="360"/>
        <w:rPr>
          <w:rFonts w:eastAsia="Times New Roman" w:cstheme="minorHAnsi"/>
        </w:rPr>
      </w:pPr>
      <w:r w:rsidRPr="00135BB3">
        <w:rPr>
          <w:rFonts w:eastAsia="Times New Roman" w:cstheme="minorHAnsi"/>
        </w:rPr>
        <w:t>No, qualified:  3</w:t>
      </w:r>
    </w:p>
    <w:p w14:paraId="305A3F7A" w14:textId="77777777" w:rsidR="00CF3F5E" w:rsidRPr="00135BB3" w:rsidRDefault="00CF3F5E" w:rsidP="00436E5B">
      <w:pPr>
        <w:shd w:val="clear" w:color="auto" w:fill="FFFFFF"/>
        <w:tabs>
          <w:tab w:val="num" w:pos="720"/>
        </w:tabs>
        <w:spacing w:after="0" w:line="240" w:lineRule="auto"/>
        <w:ind w:left="360"/>
        <w:rPr>
          <w:rFonts w:eastAsia="Times New Roman" w:cstheme="minorHAnsi"/>
        </w:rPr>
      </w:pPr>
      <w:r w:rsidRPr="00135BB3">
        <w:rPr>
          <w:rFonts w:eastAsia="Times New Roman" w:cstheme="minorHAnsi"/>
        </w:rPr>
        <w:t xml:space="preserve">No, </w:t>
      </w:r>
      <w:r>
        <w:rPr>
          <w:rFonts w:eastAsia="Times New Roman" w:cstheme="minorHAnsi"/>
        </w:rPr>
        <w:t>un</w:t>
      </w:r>
      <w:r w:rsidRPr="00135BB3">
        <w:rPr>
          <w:rFonts w:eastAsia="Times New Roman" w:cstheme="minorHAnsi"/>
        </w:rPr>
        <w:t>qualified: 12</w:t>
      </w:r>
    </w:p>
    <w:p w14:paraId="1141E757" w14:textId="77777777" w:rsidR="00CF3F5E" w:rsidRPr="00D32286" w:rsidRDefault="00CF3F5E" w:rsidP="00436E5B">
      <w:pPr>
        <w:shd w:val="clear" w:color="auto" w:fill="FFFFFF"/>
        <w:spacing w:after="0" w:line="240" w:lineRule="auto"/>
        <w:rPr>
          <w:rFonts w:eastAsia="Times New Roman" w:cstheme="minorHAnsi"/>
        </w:rPr>
      </w:pPr>
    </w:p>
    <w:p w14:paraId="2854BB0A" w14:textId="77777777" w:rsidR="00CF3F5E" w:rsidRPr="001343BA" w:rsidRDefault="00CF3F5E" w:rsidP="00CF3F5E">
      <w:pPr>
        <w:numPr>
          <w:ilvl w:val="0"/>
          <w:numId w:val="25"/>
        </w:numPr>
        <w:shd w:val="clear" w:color="auto" w:fill="FFFFFF"/>
        <w:tabs>
          <w:tab w:val="num" w:pos="720"/>
        </w:tabs>
        <w:spacing w:after="0" w:line="240" w:lineRule="auto"/>
        <w:rPr>
          <w:rFonts w:eastAsia="Times New Roman" w:cstheme="minorHAnsi"/>
          <w:b/>
          <w:bCs/>
        </w:rPr>
      </w:pPr>
      <w:r w:rsidRPr="00D32286">
        <w:rPr>
          <w:rFonts w:eastAsia="Times New Roman" w:cstheme="minorHAnsi"/>
          <w:b/>
          <w:bCs/>
          <w:bdr w:val="none" w:sz="0" w:space="0" w:color="auto" w:frame="1"/>
        </w:rPr>
        <w:t>Do you personally think that the </w:t>
      </w:r>
      <w:r w:rsidRPr="00D32286">
        <w:rPr>
          <w:rFonts w:eastAsia="Times New Roman" w:cstheme="minorHAnsi"/>
          <w:b/>
          <w:bCs/>
          <w:u w:val="single"/>
          <w:bdr w:val="none" w:sz="0" w:space="0" w:color="auto" w:frame="1"/>
        </w:rPr>
        <w:t>primary</w:t>
      </w:r>
      <w:r w:rsidRPr="00D32286">
        <w:rPr>
          <w:rFonts w:eastAsia="Times New Roman" w:cstheme="minorHAnsi"/>
          <w:b/>
          <w:bCs/>
          <w:bdr w:val="none" w:sz="0" w:space="0" w:color="auto" w:frame="1"/>
        </w:rPr>
        <w:t> </w:t>
      </w:r>
      <w:r w:rsidRPr="00D32286">
        <w:rPr>
          <w:rFonts w:eastAsia="Times New Roman" w:cstheme="minorHAnsi"/>
          <w:b/>
          <w:bCs/>
          <w:i/>
          <w:iCs/>
          <w:bdr w:val="none" w:sz="0" w:space="0" w:color="auto" w:frame="1"/>
        </w:rPr>
        <w:t>source of research assign times</w:t>
      </w:r>
      <w:r w:rsidRPr="00D32286">
        <w:rPr>
          <w:rFonts w:eastAsia="Times New Roman" w:cstheme="minorHAnsi"/>
          <w:b/>
          <w:bCs/>
          <w:bdr w:val="none" w:sz="0" w:space="0" w:color="auto" w:frame="1"/>
        </w:rPr>
        <w:t> should be across-the-board to all faculty regardless of past research productivity, based on mini-grants that focus on future productivity, or based on past research productivity emphasizing the last three to five years? </w:t>
      </w:r>
    </w:p>
    <w:p w14:paraId="55983E95" w14:textId="77777777" w:rsidR="00CF3F5E"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Pr>
          <w:rFonts w:eastAsia="Times New Roman" w:cstheme="minorHAnsi"/>
          <w:bdr w:val="none" w:sz="0" w:space="0" w:color="auto" w:frame="1"/>
        </w:rPr>
        <w:t xml:space="preserve">Research reassign times should be… </w:t>
      </w:r>
    </w:p>
    <w:p w14:paraId="4CA5ACB3"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Pr>
          <w:rFonts w:eastAsia="Times New Roman" w:cstheme="minorHAnsi"/>
          <w:bdr w:val="none" w:sz="0" w:space="0" w:color="auto" w:frame="1"/>
        </w:rPr>
        <w:t>p</w:t>
      </w:r>
      <w:r w:rsidRPr="00135BB3">
        <w:rPr>
          <w:rFonts w:eastAsia="Times New Roman" w:cstheme="minorHAnsi"/>
          <w:bdr w:val="none" w:sz="0" w:space="0" w:color="auto" w:frame="1"/>
        </w:rPr>
        <w:t>rimarily across-the-board: 2</w:t>
      </w:r>
    </w:p>
    <w:p w14:paraId="0ADF2F50"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Primarily mini-grants:  0</w:t>
      </w:r>
    </w:p>
    <w:p w14:paraId="2F26D333"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Primarily past research productivity:  8</w:t>
      </w:r>
    </w:p>
    <w:p w14:paraId="7F811BC6"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Combination of approaches: 9</w:t>
      </w:r>
    </w:p>
    <w:p w14:paraId="17136960" w14:textId="77777777" w:rsidR="00CF3F5E" w:rsidRPr="00135BB3" w:rsidRDefault="00CF3F5E" w:rsidP="00436E5B">
      <w:pPr>
        <w:shd w:val="clear" w:color="auto" w:fill="FFFFFF"/>
        <w:tabs>
          <w:tab w:val="num" w:pos="720"/>
        </w:tabs>
        <w:spacing w:after="0" w:line="240" w:lineRule="auto"/>
        <w:ind w:left="360"/>
        <w:rPr>
          <w:rFonts w:eastAsia="Times New Roman" w:cstheme="minorHAnsi"/>
        </w:rPr>
      </w:pPr>
      <w:r w:rsidRPr="00135BB3">
        <w:rPr>
          <w:rFonts w:eastAsia="Times New Roman" w:cstheme="minorHAnsi"/>
          <w:bdr w:val="none" w:sz="0" w:space="0" w:color="auto" w:frame="1"/>
        </w:rPr>
        <w:t xml:space="preserve">Notes: several respondents were strongly against across-the-board; one faculty member emphasized re-invigorating mini-grants but two were critical of </w:t>
      </w:r>
      <w:r>
        <w:rPr>
          <w:rFonts w:eastAsia="Times New Roman" w:cstheme="minorHAnsi"/>
          <w:bdr w:val="none" w:sz="0" w:space="0" w:color="auto" w:frame="1"/>
        </w:rPr>
        <w:t xml:space="preserve">mini-grant </w:t>
      </w:r>
      <w:r w:rsidRPr="00135BB3">
        <w:rPr>
          <w:rFonts w:eastAsia="Times New Roman" w:cstheme="minorHAnsi"/>
          <w:bdr w:val="none" w:sz="0" w:space="0" w:color="auto" w:frame="1"/>
        </w:rPr>
        <w:t>competition and quality of evaluation; strong sentiments were expressed by primarily</w:t>
      </w:r>
      <w:r>
        <w:rPr>
          <w:rFonts w:eastAsia="Times New Roman" w:cstheme="minorHAnsi"/>
          <w:bdr w:val="none" w:sz="0" w:space="0" w:color="auto" w:frame="1"/>
        </w:rPr>
        <w:t>-</w:t>
      </w:r>
      <w:r w:rsidRPr="00135BB3">
        <w:rPr>
          <w:rFonts w:eastAsia="Times New Roman" w:cstheme="minorHAnsi"/>
          <w:bdr w:val="none" w:sz="0" w:space="0" w:color="auto" w:frame="1"/>
        </w:rPr>
        <w:t>past</w:t>
      </w:r>
      <w:r>
        <w:rPr>
          <w:rFonts w:eastAsia="Times New Roman" w:cstheme="minorHAnsi"/>
          <w:bdr w:val="none" w:sz="0" w:space="0" w:color="auto" w:frame="1"/>
        </w:rPr>
        <w:t>-</w:t>
      </w:r>
      <w:r w:rsidRPr="00135BB3">
        <w:rPr>
          <w:rFonts w:eastAsia="Times New Roman" w:cstheme="minorHAnsi"/>
          <w:bdr w:val="none" w:sz="0" w:space="0" w:color="auto" w:frame="1"/>
        </w:rPr>
        <w:t>research</w:t>
      </w:r>
      <w:r>
        <w:rPr>
          <w:rFonts w:eastAsia="Times New Roman" w:cstheme="minorHAnsi"/>
          <w:bdr w:val="none" w:sz="0" w:space="0" w:color="auto" w:frame="1"/>
        </w:rPr>
        <w:t>-</w:t>
      </w:r>
      <w:r w:rsidRPr="00135BB3">
        <w:rPr>
          <w:rFonts w:eastAsia="Times New Roman" w:cstheme="minorHAnsi"/>
          <w:bdr w:val="none" w:sz="0" w:space="0" w:color="auto" w:frame="1"/>
        </w:rPr>
        <w:t xml:space="preserve">productivity respondents; some of the combination of approaches broadened the discussion to include more reassign time for teaching and service projects. </w:t>
      </w:r>
    </w:p>
    <w:p w14:paraId="5EBE57D2" w14:textId="77777777" w:rsidR="00CF3F5E" w:rsidRPr="00D32286" w:rsidRDefault="00CF3F5E" w:rsidP="00436E5B">
      <w:pPr>
        <w:shd w:val="clear" w:color="auto" w:fill="FFFFFF"/>
        <w:spacing w:after="0" w:line="240" w:lineRule="auto"/>
        <w:textAlignment w:val="baseline"/>
        <w:rPr>
          <w:rFonts w:eastAsia="Times New Roman" w:cstheme="minorHAnsi"/>
        </w:rPr>
      </w:pPr>
    </w:p>
    <w:p w14:paraId="473C0C39" w14:textId="77777777" w:rsidR="00CF3F5E" w:rsidRPr="00D32286" w:rsidRDefault="00CF3F5E" w:rsidP="00436E5B">
      <w:pPr>
        <w:shd w:val="clear" w:color="auto" w:fill="FFFFFF"/>
        <w:spacing w:after="0" w:line="240" w:lineRule="auto"/>
        <w:ind w:left="360"/>
        <w:rPr>
          <w:rFonts w:eastAsia="Times New Roman" w:cstheme="minorHAnsi"/>
        </w:rPr>
      </w:pPr>
    </w:p>
    <w:p w14:paraId="65ADC6FD" w14:textId="77777777" w:rsidR="00CF3F5E" w:rsidRPr="00367BE5" w:rsidRDefault="00CF3F5E" w:rsidP="00CF3F5E">
      <w:pPr>
        <w:numPr>
          <w:ilvl w:val="0"/>
          <w:numId w:val="25"/>
        </w:numPr>
        <w:shd w:val="clear" w:color="auto" w:fill="FFFFFF"/>
        <w:tabs>
          <w:tab w:val="num" w:pos="720"/>
        </w:tabs>
        <w:spacing w:after="0" w:line="240" w:lineRule="auto"/>
        <w:rPr>
          <w:rFonts w:eastAsia="Times New Roman" w:cstheme="minorHAnsi"/>
          <w:b/>
          <w:bCs/>
        </w:rPr>
      </w:pPr>
      <w:r w:rsidRPr="00D32286">
        <w:rPr>
          <w:rFonts w:eastAsia="Times New Roman" w:cstheme="minorHAnsi"/>
          <w:b/>
          <w:bCs/>
          <w:bdr w:val="none" w:sz="0" w:space="0" w:color="auto" w:frame="1"/>
        </w:rPr>
        <w:t>To what degree, if any, is the </w:t>
      </w:r>
      <w:r w:rsidRPr="00D32286">
        <w:rPr>
          <w:rFonts w:eastAsia="Times New Roman" w:cstheme="minorHAnsi"/>
          <w:b/>
          <w:bCs/>
          <w:i/>
          <w:iCs/>
          <w:bdr w:val="none" w:sz="0" w:space="0" w:color="auto" w:frame="1"/>
        </w:rPr>
        <w:t>consistency</w:t>
      </w:r>
      <w:r w:rsidRPr="00D32286">
        <w:rPr>
          <w:rFonts w:eastAsia="Times New Roman" w:cstheme="minorHAnsi"/>
          <w:b/>
          <w:bCs/>
          <w:bdr w:val="none" w:sz="0" w:space="0" w:color="auto" w:frame="1"/>
        </w:rPr>
        <w:t> of research assign times from year-to-year a concern to you? </w:t>
      </w:r>
    </w:p>
    <w:p w14:paraId="56B7C168" w14:textId="77777777" w:rsidR="00CF3F5E"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Pr>
          <w:rFonts w:eastAsia="Times New Roman" w:cstheme="minorHAnsi"/>
          <w:bdr w:val="none" w:sz="0" w:space="0" w:color="auto" w:frame="1"/>
        </w:rPr>
        <w:t>Research assigned time is a concern…</w:t>
      </w:r>
    </w:p>
    <w:p w14:paraId="6283A964"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Yes, unqualified:  17</w:t>
      </w:r>
    </w:p>
    <w:p w14:paraId="70064FC5"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Yes, qualified:  2</w:t>
      </w:r>
    </w:p>
    <w:p w14:paraId="3D2F2EBB"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No, qualified: 0</w:t>
      </w:r>
    </w:p>
    <w:p w14:paraId="562080A4"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No, unqualified:  0</w:t>
      </w:r>
    </w:p>
    <w:p w14:paraId="37F40312" w14:textId="77777777" w:rsidR="00CF3F5E" w:rsidRPr="00135BB3" w:rsidRDefault="00CF3F5E" w:rsidP="00436E5B">
      <w:pPr>
        <w:shd w:val="clear" w:color="auto" w:fill="FFFFFF"/>
        <w:tabs>
          <w:tab w:val="num" w:pos="720"/>
        </w:tabs>
        <w:spacing w:after="0" w:line="240" w:lineRule="auto"/>
        <w:ind w:left="360"/>
        <w:rPr>
          <w:rFonts w:eastAsia="Times New Roman" w:cstheme="minorHAnsi"/>
        </w:rPr>
      </w:pPr>
      <w:r w:rsidRPr="00135BB3">
        <w:rPr>
          <w:rFonts w:eastAsia="Times New Roman" w:cstheme="minorHAnsi"/>
          <w:bdr w:val="none" w:sz="0" w:space="0" w:color="auto" w:frame="1"/>
        </w:rPr>
        <w:t xml:space="preserve">Notes:  Because this sample is selected from among the most scholarly productive faculty on campus, it is not surprising that reassign time consistency is very important. Those faculty who have not received reassign time for research, grants, etc. and thought that this was problematic were classified as Yes, unqualified. Reassign time to gear up for major projects was highlighted by numerous respondents. </w:t>
      </w:r>
    </w:p>
    <w:p w14:paraId="2726AE2B" w14:textId="77777777" w:rsidR="00CF3F5E" w:rsidRPr="00D32286" w:rsidRDefault="00CF3F5E" w:rsidP="00436E5B">
      <w:pPr>
        <w:spacing w:after="0" w:line="240" w:lineRule="auto"/>
        <w:rPr>
          <w:rFonts w:eastAsia="Times New Roman" w:cstheme="minorHAnsi"/>
        </w:rPr>
      </w:pPr>
    </w:p>
    <w:p w14:paraId="11F47F4A" w14:textId="77777777" w:rsidR="00CF3F5E" w:rsidRPr="005469D0" w:rsidRDefault="00CF3F5E" w:rsidP="00CF3F5E">
      <w:pPr>
        <w:numPr>
          <w:ilvl w:val="0"/>
          <w:numId w:val="25"/>
        </w:numPr>
        <w:shd w:val="clear" w:color="auto" w:fill="FFFFFF"/>
        <w:tabs>
          <w:tab w:val="num" w:pos="720"/>
        </w:tabs>
        <w:spacing w:after="0" w:line="240" w:lineRule="auto"/>
        <w:rPr>
          <w:rFonts w:eastAsia="Times New Roman" w:cstheme="minorHAnsi"/>
          <w:b/>
          <w:bCs/>
        </w:rPr>
      </w:pPr>
      <w:r w:rsidRPr="00D32286">
        <w:rPr>
          <w:rFonts w:eastAsia="Times New Roman" w:cstheme="minorHAnsi"/>
          <w:b/>
          <w:bCs/>
          <w:bdr w:val="none" w:sz="0" w:space="0" w:color="auto" w:frame="1"/>
        </w:rPr>
        <w:t>Research reassign times are largely generated by public institutions from teaching efficiency. Do you feel that </w:t>
      </w:r>
      <w:r w:rsidRPr="00D32286">
        <w:rPr>
          <w:rFonts w:eastAsia="Times New Roman" w:cstheme="minorHAnsi"/>
          <w:b/>
          <w:bCs/>
          <w:i/>
          <w:iCs/>
          <w:bdr w:val="none" w:sz="0" w:space="0" w:color="auto" w:frame="1"/>
        </w:rPr>
        <w:t>teaching efficiency</w:t>
      </w:r>
      <w:r w:rsidRPr="00D32286">
        <w:rPr>
          <w:rFonts w:eastAsia="Times New Roman" w:cstheme="minorHAnsi"/>
          <w:b/>
          <w:bCs/>
          <w:bdr w:val="none" w:sz="0" w:space="0" w:color="auto" w:frame="1"/>
        </w:rPr>
        <w:t> in your department is near to being optimal for an R2? </w:t>
      </w:r>
    </w:p>
    <w:p w14:paraId="6BC4014A" w14:textId="77777777" w:rsidR="00CF3F5E" w:rsidRPr="006B56BD"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6B56BD">
        <w:rPr>
          <w:rFonts w:eastAsia="Times New Roman" w:cstheme="minorHAnsi"/>
          <w:bdr w:val="none" w:sz="0" w:space="0" w:color="auto" w:frame="1"/>
        </w:rPr>
        <w:t>Teaching efficiency in your department is near to being optimal for an R2</w:t>
      </w:r>
      <w:r>
        <w:rPr>
          <w:rFonts w:eastAsia="Times New Roman" w:cstheme="minorHAnsi"/>
          <w:bdr w:val="none" w:sz="0" w:space="0" w:color="auto" w:frame="1"/>
        </w:rPr>
        <w:t>…</w:t>
      </w:r>
    </w:p>
    <w:p w14:paraId="597251B1"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lastRenderedPageBreak/>
        <w:t>Yes optimal, unqualified:  4</w:t>
      </w:r>
    </w:p>
    <w:p w14:paraId="11B4DD07"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Yes optimal, qualified:  6</w:t>
      </w:r>
    </w:p>
    <w:p w14:paraId="62901455"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No optimal, qualified:  0</w:t>
      </w:r>
    </w:p>
    <w:p w14:paraId="4C68E2F6"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No optimal, unqualified:  3</w:t>
      </w:r>
    </w:p>
    <w:p w14:paraId="6ED7C84A"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Did not understand, insufficient information: 6</w:t>
      </w:r>
    </w:p>
    <w:p w14:paraId="672B9F50" w14:textId="77777777" w:rsidR="00CF3F5E" w:rsidRPr="00135BB3" w:rsidRDefault="00CF3F5E" w:rsidP="00436E5B">
      <w:pPr>
        <w:shd w:val="clear" w:color="auto" w:fill="FFFFFF"/>
        <w:tabs>
          <w:tab w:val="num" w:pos="720"/>
        </w:tabs>
        <w:spacing w:after="0" w:line="240" w:lineRule="auto"/>
        <w:ind w:left="360"/>
        <w:rPr>
          <w:rFonts w:eastAsia="Times New Roman" w:cstheme="minorHAnsi"/>
        </w:rPr>
      </w:pPr>
      <w:r w:rsidRPr="00135BB3">
        <w:rPr>
          <w:rFonts w:eastAsia="Times New Roman" w:cstheme="minorHAnsi"/>
        </w:rPr>
        <w:t xml:space="preserve">Notes: Most respondents who made a judgment felt that their respective departments did a good to very good job based on instructional customization for high quality teaching and/or teaching maximal size classes based on class type. Only three respondents thought teaching efficiency was problematic, but felt so strongly. Six respondents declined to answer because they did not understand the question or had insufficient information. A handful of respondents stated or implied that trust was a major barrier to any prospect of increasing numeric efficiency because of lack of trust in administrators. </w:t>
      </w:r>
    </w:p>
    <w:p w14:paraId="0F8BB794" w14:textId="77777777" w:rsidR="00CF3F5E" w:rsidRPr="00D32286" w:rsidRDefault="00CF3F5E" w:rsidP="00436E5B">
      <w:pPr>
        <w:shd w:val="clear" w:color="auto" w:fill="FFFFFF"/>
        <w:spacing w:after="0" w:line="240" w:lineRule="auto"/>
        <w:ind w:left="360"/>
        <w:rPr>
          <w:rFonts w:eastAsia="Times New Roman" w:cstheme="minorHAnsi"/>
        </w:rPr>
      </w:pPr>
    </w:p>
    <w:p w14:paraId="7E0E5160" w14:textId="77777777" w:rsidR="00CF3F5E" w:rsidRPr="000C72E5" w:rsidRDefault="00CF3F5E" w:rsidP="00CF3F5E">
      <w:pPr>
        <w:numPr>
          <w:ilvl w:val="0"/>
          <w:numId w:val="25"/>
        </w:numPr>
        <w:shd w:val="clear" w:color="auto" w:fill="FFFFFF"/>
        <w:tabs>
          <w:tab w:val="num" w:pos="720"/>
        </w:tabs>
        <w:spacing w:after="0" w:line="240" w:lineRule="auto"/>
        <w:rPr>
          <w:rFonts w:eastAsia="Times New Roman" w:cstheme="minorHAnsi"/>
          <w:b/>
          <w:bCs/>
        </w:rPr>
      </w:pPr>
      <w:r w:rsidRPr="00D32286">
        <w:rPr>
          <w:rFonts w:eastAsia="Times New Roman" w:cstheme="minorHAnsi"/>
          <w:b/>
          <w:bCs/>
          <w:bdr w:val="none" w:sz="0" w:space="0" w:color="auto" w:frame="1"/>
        </w:rPr>
        <w:t>Do you feel properly </w:t>
      </w:r>
      <w:r w:rsidRPr="00D32286">
        <w:rPr>
          <w:rFonts w:eastAsia="Times New Roman" w:cstheme="minorHAnsi"/>
          <w:b/>
          <w:bCs/>
          <w:i/>
          <w:iCs/>
          <w:bdr w:val="none" w:sz="0" w:space="0" w:color="auto" w:frame="1"/>
        </w:rPr>
        <w:t>recognized/appreciated</w:t>
      </w:r>
      <w:r w:rsidRPr="00D32286">
        <w:rPr>
          <w:rFonts w:eastAsia="Times New Roman" w:cstheme="minorHAnsi"/>
          <w:b/>
          <w:bCs/>
          <w:bdr w:val="none" w:sz="0" w:space="0" w:color="auto" w:frame="1"/>
        </w:rPr>
        <w:t> (in terms of acknowledgments, honors, etc.) by your department, college, and/or university for your research productivity?  </w:t>
      </w:r>
    </w:p>
    <w:p w14:paraId="0654BAF4"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Yes, I feel recognized/appreciated, unqualified: 7</w:t>
      </w:r>
    </w:p>
    <w:p w14:paraId="7B94C57B"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Yes, I feel recognized/appreciated, qualified: 3</w:t>
      </w:r>
    </w:p>
    <w:p w14:paraId="1568EB49"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 xml:space="preserve">No, I do not feel recognized/appreciated, qualified: 4 </w:t>
      </w:r>
    </w:p>
    <w:p w14:paraId="7516FCB3"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No, I do not feel recognized/appreciated, unqualified:  3</w:t>
      </w:r>
    </w:p>
    <w:p w14:paraId="0DE94D2D"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Other: 2 (no distinction between low quality and high-quality research; don’t want recognition)</w:t>
      </w:r>
    </w:p>
    <w:p w14:paraId="4A426B6C" w14:textId="77777777" w:rsidR="00CF3F5E" w:rsidRPr="00135BB3" w:rsidRDefault="00CF3F5E" w:rsidP="00436E5B">
      <w:pPr>
        <w:shd w:val="clear" w:color="auto" w:fill="FFFFFF"/>
        <w:tabs>
          <w:tab w:val="num" w:pos="720"/>
        </w:tabs>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 xml:space="preserve">Notes: Qualified yes answers indicated that they were appreciated at one level but not at others. Four of the no’s were sanguine; three were bitter. </w:t>
      </w:r>
    </w:p>
    <w:p w14:paraId="711FF149" w14:textId="77777777" w:rsidR="00CF3F5E" w:rsidRPr="00D32286" w:rsidRDefault="00CF3F5E" w:rsidP="00436E5B">
      <w:pPr>
        <w:shd w:val="clear" w:color="auto" w:fill="FFFFFF"/>
        <w:tabs>
          <w:tab w:val="num" w:pos="720"/>
        </w:tabs>
        <w:spacing w:after="0" w:line="240" w:lineRule="auto"/>
        <w:ind w:left="360"/>
        <w:rPr>
          <w:rFonts w:eastAsia="Times New Roman" w:cstheme="minorHAnsi"/>
          <w:b/>
          <w:bCs/>
        </w:rPr>
      </w:pPr>
    </w:p>
    <w:p w14:paraId="717882AA" w14:textId="77777777" w:rsidR="00CF3F5E" w:rsidRPr="00DB085E" w:rsidRDefault="00CF3F5E" w:rsidP="00CF3F5E">
      <w:pPr>
        <w:numPr>
          <w:ilvl w:val="0"/>
          <w:numId w:val="25"/>
        </w:numPr>
        <w:shd w:val="clear" w:color="auto" w:fill="FFFFFF"/>
        <w:spacing w:after="0" w:line="240" w:lineRule="auto"/>
        <w:rPr>
          <w:rFonts w:eastAsia="Times New Roman" w:cstheme="minorHAnsi"/>
          <w:b/>
          <w:bCs/>
        </w:rPr>
      </w:pPr>
      <w:r w:rsidRPr="00D32286">
        <w:rPr>
          <w:rFonts w:eastAsia="Times New Roman" w:cstheme="minorHAnsi"/>
          <w:b/>
          <w:bCs/>
          <w:bdr w:val="none" w:sz="0" w:space="0" w:color="auto" w:frame="1"/>
        </w:rPr>
        <w:t>Are there any other comments you would like to make? </w:t>
      </w:r>
    </w:p>
    <w:p w14:paraId="3739AB6B" w14:textId="77777777" w:rsidR="00CF3F5E" w:rsidRPr="00135BB3" w:rsidRDefault="00CF3F5E" w:rsidP="00436E5B">
      <w:pPr>
        <w:shd w:val="clear" w:color="auto" w:fill="FFFFFF"/>
        <w:spacing w:after="0" w:line="240" w:lineRule="auto"/>
        <w:ind w:left="360"/>
        <w:rPr>
          <w:rFonts w:eastAsia="Times New Roman" w:cstheme="minorHAnsi"/>
          <w:bdr w:val="none" w:sz="0" w:space="0" w:color="auto" w:frame="1"/>
        </w:rPr>
      </w:pPr>
      <w:r w:rsidRPr="00135BB3">
        <w:rPr>
          <w:rFonts w:eastAsia="Times New Roman" w:cstheme="minorHAnsi"/>
          <w:bdr w:val="none" w:sz="0" w:space="0" w:color="auto" w:frame="1"/>
        </w:rPr>
        <w:t>10 respondents had additional comments. Gist of comments:</w:t>
      </w:r>
    </w:p>
    <w:p w14:paraId="3A7204DC" w14:textId="77777777" w:rsidR="00CF3F5E" w:rsidRPr="00135BB3" w:rsidRDefault="00CF3F5E" w:rsidP="00CF3F5E">
      <w:pPr>
        <w:pStyle w:val="ListParagraph"/>
        <w:numPr>
          <w:ilvl w:val="0"/>
          <w:numId w:val="26"/>
        </w:numPr>
        <w:shd w:val="clear" w:color="auto" w:fill="FFFFFF"/>
        <w:spacing w:after="0" w:line="240" w:lineRule="auto"/>
        <w:rPr>
          <w:rFonts w:eastAsia="Times New Roman" w:cstheme="minorHAnsi"/>
        </w:rPr>
      </w:pPr>
      <w:r w:rsidRPr="00135BB3">
        <w:rPr>
          <w:rFonts w:eastAsia="Times New Roman" w:cstheme="minorHAnsi"/>
        </w:rPr>
        <w:t>More timely payments in sponsored projects</w:t>
      </w:r>
    </w:p>
    <w:p w14:paraId="43312F5C" w14:textId="77777777" w:rsidR="00CF3F5E" w:rsidRPr="00135BB3" w:rsidRDefault="00CF3F5E" w:rsidP="00CF3F5E">
      <w:pPr>
        <w:pStyle w:val="ListParagraph"/>
        <w:numPr>
          <w:ilvl w:val="0"/>
          <w:numId w:val="26"/>
        </w:numPr>
        <w:shd w:val="clear" w:color="auto" w:fill="FFFFFF"/>
        <w:spacing w:after="0" w:line="240" w:lineRule="auto"/>
        <w:rPr>
          <w:rFonts w:eastAsia="Times New Roman" w:cstheme="minorHAnsi"/>
        </w:rPr>
      </w:pPr>
      <w:r w:rsidRPr="00135BB3">
        <w:rPr>
          <w:rFonts w:eastAsia="Times New Roman" w:cstheme="minorHAnsi"/>
        </w:rPr>
        <w:t>Lack of transparency about use of indirect cost recovery monies</w:t>
      </w:r>
    </w:p>
    <w:p w14:paraId="50F2A22E" w14:textId="77777777" w:rsidR="00CF3F5E" w:rsidRPr="00135BB3" w:rsidRDefault="00CF3F5E" w:rsidP="00CF3F5E">
      <w:pPr>
        <w:pStyle w:val="ListParagraph"/>
        <w:numPr>
          <w:ilvl w:val="0"/>
          <w:numId w:val="26"/>
        </w:numPr>
        <w:shd w:val="clear" w:color="auto" w:fill="FFFFFF"/>
        <w:spacing w:after="0" w:line="240" w:lineRule="auto"/>
        <w:rPr>
          <w:rFonts w:eastAsia="Times New Roman" w:cstheme="minorHAnsi"/>
        </w:rPr>
      </w:pPr>
      <w:r w:rsidRPr="00135BB3">
        <w:rPr>
          <w:rFonts w:eastAsia="Times New Roman" w:cstheme="minorHAnsi"/>
        </w:rPr>
        <w:t>Hire a professional grant writer</w:t>
      </w:r>
    </w:p>
    <w:p w14:paraId="07449CAD" w14:textId="77777777" w:rsidR="00CF3F5E" w:rsidRPr="00135BB3" w:rsidRDefault="00CF3F5E" w:rsidP="00CF3F5E">
      <w:pPr>
        <w:pStyle w:val="ListParagraph"/>
        <w:numPr>
          <w:ilvl w:val="0"/>
          <w:numId w:val="26"/>
        </w:numPr>
        <w:shd w:val="clear" w:color="auto" w:fill="FFFFFF"/>
        <w:spacing w:after="0" w:line="240" w:lineRule="auto"/>
        <w:rPr>
          <w:rFonts w:eastAsia="Times New Roman" w:cstheme="minorHAnsi"/>
        </w:rPr>
      </w:pPr>
      <w:r w:rsidRPr="00135BB3">
        <w:rPr>
          <w:rFonts w:eastAsia="Times New Roman" w:cstheme="minorHAnsi"/>
        </w:rPr>
        <w:t>Extend timeline usage requirements to fit circumstances (e.g., COVID)</w:t>
      </w:r>
    </w:p>
    <w:p w14:paraId="6E3B43C7" w14:textId="77777777" w:rsidR="00CF3F5E" w:rsidRPr="00135BB3" w:rsidRDefault="00CF3F5E" w:rsidP="00CF3F5E">
      <w:pPr>
        <w:pStyle w:val="ListParagraph"/>
        <w:numPr>
          <w:ilvl w:val="0"/>
          <w:numId w:val="26"/>
        </w:numPr>
        <w:shd w:val="clear" w:color="auto" w:fill="FFFFFF"/>
        <w:spacing w:after="0" w:line="240" w:lineRule="auto"/>
        <w:rPr>
          <w:rFonts w:eastAsia="Times New Roman" w:cstheme="minorHAnsi"/>
        </w:rPr>
      </w:pPr>
      <w:r w:rsidRPr="00135BB3">
        <w:rPr>
          <w:rFonts w:eastAsia="Times New Roman" w:cstheme="minorHAnsi"/>
        </w:rPr>
        <w:t>Reduce teaching loads (time) for high impact journal publication</w:t>
      </w:r>
    </w:p>
    <w:p w14:paraId="72A42C91" w14:textId="77777777" w:rsidR="00CF3F5E" w:rsidRPr="00135BB3" w:rsidRDefault="00CF3F5E" w:rsidP="00CF3F5E">
      <w:pPr>
        <w:pStyle w:val="ListParagraph"/>
        <w:numPr>
          <w:ilvl w:val="0"/>
          <w:numId w:val="26"/>
        </w:numPr>
        <w:shd w:val="clear" w:color="auto" w:fill="FFFFFF"/>
        <w:spacing w:after="0" w:line="240" w:lineRule="auto"/>
        <w:rPr>
          <w:rFonts w:eastAsia="Times New Roman" w:cstheme="minorHAnsi"/>
        </w:rPr>
      </w:pPr>
      <w:r w:rsidRPr="00135BB3">
        <w:rPr>
          <w:rFonts w:eastAsia="Times New Roman" w:cstheme="minorHAnsi"/>
        </w:rPr>
        <w:t>Increase incentives ($) for those who publish in high impact journals</w:t>
      </w:r>
    </w:p>
    <w:p w14:paraId="1F4E9982" w14:textId="77777777" w:rsidR="00CF3F5E" w:rsidRPr="00135BB3" w:rsidRDefault="00CF3F5E" w:rsidP="00CF3F5E">
      <w:pPr>
        <w:pStyle w:val="ListParagraph"/>
        <w:numPr>
          <w:ilvl w:val="0"/>
          <w:numId w:val="26"/>
        </w:numPr>
        <w:shd w:val="clear" w:color="auto" w:fill="FFFFFF"/>
        <w:spacing w:after="0" w:line="240" w:lineRule="auto"/>
        <w:rPr>
          <w:rFonts w:eastAsia="Times New Roman" w:cstheme="minorHAnsi"/>
        </w:rPr>
      </w:pPr>
      <w:r w:rsidRPr="00135BB3">
        <w:rPr>
          <w:rFonts w:eastAsia="Times New Roman" w:cstheme="minorHAnsi"/>
        </w:rPr>
        <w:t xml:space="preserve">“Assigned time should be available to anyone with a halfway decent research plan” </w:t>
      </w:r>
    </w:p>
    <w:p w14:paraId="2563DA2F" w14:textId="77777777" w:rsidR="00CF3F5E" w:rsidRPr="00135BB3" w:rsidRDefault="00CF3F5E" w:rsidP="00CF3F5E">
      <w:pPr>
        <w:pStyle w:val="ListParagraph"/>
        <w:numPr>
          <w:ilvl w:val="0"/>
          <w:numId w:val="26"/>
        </w:numPr>
        <w:shd w:val="clear" w:color="auto" w:fill="FFFFFF"/>
        <w:spacing w:after="0" w:line="240" w:lineRule="auto"/>
        <w:rPr>
          <w:rFonts w:eastAsia="Times New Roman" w:cstheme="minorHAnsi"/>
        </w:rPr>
      </w:pPr>
      <w:r w:rsidRPr="00135BB3">
        <w:rPr>
          <w:rFonts w:eastAsia="Times New Roman" w:cstheme="minorHAnsi"/>
        </w:rPr>
        <w:t>Institute research reassign time for research productivity</w:t>
      </w:r>
    </w:p>
    <w:p w14:paraId="02B5FB45" w14:textId="77777777" w:rsidR="00CF3F5E" w:rsidRPr="00135BB3" w:rsidRDefault="00CF3F5E" w:rsidP="00CF3F5E">
      <w:pPr>
        <w:pStyle w:val="ListParagraph"/>
        <w:numPr>
          <w:ilvl w:val="0"/>
          <w:numId w:val="26"/>
        </w:numPr>
        <w:shd w:val="clear" w:color="auto" w:fill="FFFFFF"/>
        <w:spacing w:after="0" w:line="240" w:lineRule="auto"/>
        <w:rPr>
          <w:rFonts w:eastAsia="Times New Roman" w:cstheme="minorHAnsi"/>
        </w:rPr>
      </w:pPr>
      <w:r w:rsidRPr="00135BB3">
        <w:rPr>
          <w:rFonts w:eastAsia="Times New Roman" w:cstheme="minorHAnsi"/>
        </w:rPr>
        <w:t>More encouragement for big projects; more focus on faculty-oriented research because it is currently ignored except in the RPT process and thus altogether absent for full professors</w:t>
      </w:r>
    </w:p>
    <w:p w14:paraId="1A753067" w14:textId="77777777" w:rsidR="00CF3F5E" w:rsidRDefault="00CF3F5E" w:rsidP="00CF3F5E">
      <w:pPr>
        <w:pStyle w:val="ListParagraph"/>
        <w:numPr>
          <w:ilvl w:val="0"/>
          <w:numId w:val="26"/>
        </w:numPr>
        <w:shd w:val="clear" w:color="auto" w:fill="FFFFFF"/>
        <w:spacing w:after="0" w:line="240" w:lineRule="auto"/>
        <w:rPr>
          <w:rFonts w:eastAsia="Times New Roman" w:cstheme="minorHAnsi"/>
        </w:rPr>
      </w:pPr>
      <w:r w:rsidRPr="00135BB3">
        <w:rPr>
          <w:rFonts w:eastAsia="Times New Roman" w:cstheme="minorHAnsi"/>
        </w:rPr>
        <w:t>More focus on research teams</w:t>
      </w:r>
    </w:p>
    <w:p w14:paraId="1CCEAAF3" w14:textId="77777777" w:rsidR="00CF3F5E" w:rsidRDefault="00CF3F5E" w:rsidP="00436E5B">
      <w:pPr>
        <w:shd w:val="clear" w:color="auto" w:fill="FFFFFF"/>
        <w:spacing w:after="0" w:line="240" w:lineRule="auto"/>
        <w:rPr>
          <w:rFonts w:eastAsia="Times New Roman" w:cstheme="minorHAnsi"/>
        </w:rPr>
      </w:pPr>
      <w:r>
        <w:rPr>
          <w:rFonts w:eastAsia="Times New Roman" w:cstheme="minorHAnsi"/>
        </w:rPr>
        <w:t>* Arts and Letters, 2 (several declines); Education, 2; Business and Public Administration, 4; Natural Science, 6; Social and Behavioral, 5</w:t>
      </w:r>
    </w:p>
    <w:p w14:paraId="3F80FA5A" w14:textId="77777777" w:rsidR="00CF3F5E" w:rsidRPr="00685CA8" w:rsidRDefault="00CF3F5E" w:rsidP="00436E5B">
      <w:pPr>
        <w:shd w:val="clear" w:color="auto" w:fill="FFFFFF"/>
        <w:spacing w:after="0" w:line="240" w:lineRule="auto"/>
        <w:rPr>
          <w:rFonts w:eastAsia="Times New Roman" w:cstheme="minorHAnsi"/>
        </w:rPr>
      </w:pPr>
      <w:r>
        <w:rPr>
          <w:rFonts w:eastAsia="Times New Roman" w:cstheme="minorHAnsi"/>
        </w:rPr>
        <w:t xml:space="preserve">** Prepared by Monty Van Wart, Faculty Research Fellow, anonymized raw data available upon request. </w:t>
      </w:r>
    </w:p>
    <w:p w14:paraId="521132E0" w14:textId="77777777" w:rsidR="00CF3F5E" w:rsidRDefault="00CF3F5E"/>
    <w:p w14:paraId="35BF48EE" w14:textId="77777777" w:rsidR="00CF3F5E" w:rsidRPr="009A15F7" w:rsidRDefault="00CF3F5E" w:rsidP="009A15F7">
      <w:pPr>
        <w:shd w:val="clear" w:color="auto" w:fill="FFFFFF"/>
        <w:spacing w:after="0" w:line="240" w:lineRule="auto"/>
        <w:rPr>
          <w:rFonts w:ascii="Calibri" w:eastAsia="Times New Roman" w:hAnsi="Calibri" w:cs="Calibri"/>
          <w:color w:val="242424"/>
          <w:sz w:val="24"/>
          <w:szCs w:val="24"/>
        </w:rPr>
      </w:pPr>
      <w:bookmarkStart w:id="1" w:name="_GoBack"/>
      <w:bookmarkEnd w:id="1"/>
    </w:p>
    <w:p w14:paraId="6EF6D31F" w14:textId="77777777" w:rsidR="009A15F7" w:rsidRPr="002741D1" w:rsidRDefault="009A15F7" w:rsidP="006B7C8D">
      <w:pPr>
        <w:spacing w:before="100" w:beforeAutospacing="1" w:after="100" w:afterAutospacing="1"/>
        <w:rPr>
          <w:sz w:val="24"/>
          <w:szCs w:val="24"/>
        </w:rPr>
      </w:pPr>
    </w:p>
    <w:sectPr w:rsidR="009A15F7" w:rsidRPr="002741D1" w:rsidSect="006B7C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DF2"/>
    <w:multiLevelType w:val="hybridMultilevel"/>
    <w:tmpl w:val="DE68D38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CD50C76"/>
    <w:multiLevelType w:val="hybridMultilevel"/>
    <w:tmpl w:val="DF32FA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FC4332"/>
    <w:multiLevelType w:val="hybridMultilevel"/>
    <w:tmpl w:val="39C475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EE2A5B"/>
    <w:multiLevelType w:val="hybridMultilevel"/>
    <w:tmpl w:val="D40A3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50966"/>
    <w:multiLevelType w:val="multilevel"/>
    <w:tmpl w:val="75EAF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246ABB"/>
    <w:multiLevelType w:val="hybridMultilevel"/>
    <w:tmpl w:val="8A44DA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A05AAC"/>
    <w:multiLevelType w:val="hybridMultilevel"/>
    <w:tmpl w:val="3A6CD08A"/>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2F6ACC"/>
    <w:multiLevelType w:val="hybridMultilevel"/>
    <w:tmpl w:val="4B046A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990C08"/>
    <w:multiLevelType w:val="hybridMultilevel"/>
    <w:tmpl w:val="F0768F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238615AE"/>
    <w:multiLevelType w:val="hybridMultilevel"/>
    <w:tmpl w:val="A01863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03416E"/>
    <w:multiLevelType w:val="hybridMultilevel"/>
    <w:tmpl w:val="B6E2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53AA7"/>
    <w:multiLevelType w:val="multilevel"/>
    <w:tmpl w:val="8AD6DFB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8F5718F"/>
    <w:multiLevelType w:val="hybridMultilevel"/>
    <w:tmpl w:val="5A8298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5359B1"/>
    <w:multiLevelType w:val="hybridMultilevel"/>
    <w:tmpl w:val="233A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8215D"/>
    <w:multiLevelType w:val="hybridMultilevel"/>
    <w:tmpl w:val="4A203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AF7B1D"/>
    <w:multiLevelType w:val="hybridMultilevel"/>
    <w:tmpl w:val="BFD044BA"/>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BE58A9"/>
    <w:multiLevelType w:val="hybridMultilevel"/>
    <w:tmpl w:val="DB48136A"/>
    <w:lvl w:ilvl="0" w:tplc="4D563D8A">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9C50AF"/>
    <w:multiLevelType w:val="hybridMultilevel"/>
    <w:tmpl w:val="2F449EC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8" w15:restartNumberingAfterBreak="0">
    <w:nsid w:val="3C850491"/>
    <w:multiLevelType w:val="hybridMultilevel"/>
    <w:tmpl w:val="98AC71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012312D"/>
    <w:multiLevelType w:val="hybridMultilevel"/>
    <w:tmpl w:val="94D895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B81FE7"/>
    <w:multiLevelType w:val="hybridMultilevel"/>
    <w:tmpl w:val="1280F6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581174C"/>
    <w:multiLevelType w:val="multilevel"/>
    <w:tmpl w:val="E2B00D90"/>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22" w15:restartNumberingAfterBreak="0">
    <w:nsid w:val="52473DF5"/>
    <w:multiLevelType w:val="multilevel"/>
    <w:tmpl w:val="55B20E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33E473A"/>
    <w:multiLevelType w:val="hybridMultilevel"/>
    <w:tmpl w:val="87F66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4B18F5"/>
    <w:multiLevelType w:val="hybridMultilevel"/>
    <w:tmpl w:val="6234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9071C"/>
    <w:multiLevelType w:val="hybridMultilevel"/>
    <w:tmpl w:val="F5E86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12712"/>
    <w:multiLevelType w:val="hybridMultilevel"/>
    <w:tmpl w:val="D3142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82F38"/>
    <w:multiLevelType w:val="hybridMultilevel"/>
    <w:tmpl w:val="8138B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92C5B"/>
    <w:multiLevelType w:val="hybridMultilevel"/>
    <w:tmpl w:val="4E9C06BA"/>
    <w:lvl w:ilvl="0" w:tplc="159A19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3047FA"/>
    <w:multiLevelType w:val="multilevel"/>
    <w:tmpl w:val="1DA6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6"/>
  </w:num>
  <w:num w:numId="3">
    <w:abstractNumId w:val="6"/>
  </w:num>
  <w:num w:numId="4">
    <w:abstractNumId w:val="8"/>
  </w:num>
  <w:num w:numId="5">
    <w:abstractNumId w:val="6"/>
  </w:num>
  <w:num w:numId="6">
    <w:abstractNumId w:val="21"/>
  </w:num>
  <w:num w:numId="7">
    <w:abstractNumId w:val="8"/>
  </w:num>
  <w:num w:numId="8">
    <w:abstractNumId w:val="15"/>
  </w:num>
  <w:num w:numId="9">
    <w:abstractNumId w:val="12"/>
  </w:num>
  <w:num w:numId="10">
    <w:abstractNumId w:val="28"/>
  </w:num>
  <w:num w:numId="11">
    <w:abstractNumId w:val="3"/>
  </w:num>
  <w:num w:numId="12">
    <w:abstractNumId w:val="25"/>
  </w:num>
  <w:num w:numId="13">
    <w:abstractNumId w:val="0"/>
  </w:num>
  <w:num w:numId="14">
    <w:abstractNumId w:val="5"/>
  </w:num>
  <w:num w:numId="15">
    <w:abstractNumId w:val="19"/>
  </w:num>
  <w:num w:numId="16">
    <w:abstractNumId w:val="7"/>
  </w:num>
  <w:num w:numId="17">
    <w:abstractNumId w:val="18"/>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
  </w:num>
  <w:num w:numId="22">
    <w:abstractNumId w:val="2"/>
  </w:num>
  <w:num w:numId="23">
    <w:abstractNumId w:val="29"/>
  </w:num>
  <w:num w:numId="24">
    <w:abstractNumId w:val="22"/>
  </w:num>
  <w:num w:numId="25">
    <w:abstractNumId w:val="11"/>
  </w:num>
  <w:num w:numId="26">
    <w:abstractNumId w:val="17"/>
  </w:num>
  <w:num w:numId="27">
    <w:abstractNumId w:val="24"/>
  </w:num>
  <w:num w:numId="28">
    <w:abstractNumId w:val="10"/>
  </w:num>
  <w:num w:numId="29">
    <w:abstractNumId w:val="14"/>
  </w:num>
  <w:num w:numId="30">
    <w:abstractNumId w:val="13"/>
  </w:num>
  <w:num w:numId="31">
    <w:abstractNumId w:val="23"/>
  </w:num>
  <w:num w:numId="3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58"/>
    <w:rsid w:val="00001281"/>
    <w:rsid w:val="000133B5"/>
    <w:rsid w:val="00024EFF"/>
    <w:rsid w:val="00031BF3"/>
    <w:rsid w:val="00040EBF"/>
    <w:rsid w:val="0004759F"/>
    <w:rsid w:val="00055558"/>
    <w:rsid w:val="00055804"/>
    <w:rsid w:val="000559DE"/>
    <w:rsid w:val="00056FE2"/>
    <w:rsid w:val="00061E2D"/>
    <w:rsid w:val="00062DD9"/>
    <w:rsid w:val="00064746"/>
    <w:rsid w:val="000757A8"/>
    <w:rsid w:val="000951EB"/>
    <w:rsid w:val="000B0F1B"/>
    <w:rsid w:val="000B19ED"/>
    <w:rsid w:val="000B5071"/>
    <w:rsid w:val="000B760D"/>
    <w:rsid w:val="000C78A6"/>
    <w:rsid w:val="000D73E6"/>
    <w:rsid w:val="00116A0C"/>
    <w:rsid w:val="001237AD"/>
    <w:rsid w:val="001323C9"/>
    <w:rsid w:val="0013769A"/>
    <w:rsid w:val="001431D2"/>
    <w:rsid w:val="0014779A"/>
    <w:rsid w:val="0015777A"/>
    <w:rsid w:val="0016295F"/>
    <w:rsid w:val="00176BD6"/>
    <w:rsid w:val="00176F55"/>
    <w:rsid w:val="001771E0"/>
    <w:rsid w:val="00182076"/>
    <w:rsid w:val="001829ED"/>
    <w:rsid w:val="00185D10"/>
    <w:rsid w:val="00192BE4"/>
    <w:rsid w:val="00193D96"/>
    <w:rsid w:val="0019436E"/>
    <w:rsid w:val="001A1B8F"/>
    <w:rsid w:val="001A1BE9"/>
    <w:rsid w:val="001A79DB"/>
    <w:rsid w:val="001D1FDB"/>
    <w:rsid w:val="001D2383"/>
    <w:rsid w:val="001D3418"/>
    <w:rsid w:val="001F48E8"/>
    <w:rsid w:val="00205044"/>
    <w:rsid w:val="0021657D"/>
    <w:rsid w:val="002231B3"/>
    <w:rsid w:val="00245D66"/>
    <w:rsid w:val="00251BE2"/>
    <w:rsid w:val="00256220"/>
    <w:rsid w:val="002741D1"/>
    <w:rsid w:val="00274440"/>
    <w:rsid w:val="00280454"/>
    <w:rsid w:val="00285EF1"/>
    <w:rsid w:val="002961F6"/>
    <w:rsid w:val="002A5D91"/>
    <w:rsid w:val="002C07A3"/>
    <w:rsid w:val="002C247C"/>
    <w:rsid w:val="002C4C45"/>
    <w:rsid w:val="002D0724"/>
    <w:rsid w:val="002F0A1D"/>
    <w:rsid w:val="002F0DBB"/>
    <w:rsid w:val="002F6D51"/>
    <w:rsid w:val="003117E2"/>
    <w:rsid w:val="00334CD2"/>
    <w:rsid w:val="0036046A"/>
    <w:rsid w:val="00360966"/>
    <w:rsid w:val="00361517"/>
    <w:rsid w:val="00366AEA"/>
    <w:rsid w:val="00384087"/>
    <w:rsid w:val="003865FF"/>
    <w:rsid w:val="003903AF"/>
    <w:rsid w:val="00395C40"/>
    <w:rsid w:val="003A195E"/>
    <w:rsid w:val="003A3AEA"/>
    <w:rsid w:val="003C26CA"/>
    <w:rsid w:val="003C44AE"/>
    <w:rsid w:val="003E0557"/>
    <w:rsid w:val="003F1E39"/>
    <w:rsid w:val="003F37CF"/>
    <w:rsid w:val="00400C99"/>
    <w:rsid w:val="0040189C"/>
    <w:rsid w:val="004203EC"/>
    <w:rsid w:val="004209C0"/>
    <w:rsid w:val="004378EB"/>
    <w:rsid w:val="00456B70"/>
    <w:rsid w:val="0046399B"/>
    <w:rsid w:val="00465B28"/>
    <w:rsid w:val="00483640"/>
    <w:rsid w:val="004D377B"/>
    <w:rsid w:val="004E7D81"/>
    <w:rsid w:val="004F1C81"/>
    <w:rsid w:val="005043C3"/>
    <w:rsid w:val="00522C36"/>
    <w:rsid w:val="00525CE5"/>
    <w:rsid w:val="00534415"/>
    <w:rsid w:val="00544426"/>
    <w:rsid w:val="0055094E"/>
    <w:rsid w:val="00553707"/>
    <w:rsid w:val="00576C5C"/>
    <w:rsid w:val="00582127"/>
    <w:rsid w:val="005B0451"/>
    <w:rsid w:val="005C4A99"/>
    <w:rsid w:val="005F01EE"/>
    <w:rsid w:val="00601536"/>
    <w:rsid w:val="00603F7B"/>
    <w:rsid w:val="00607378"/>
    <w:rsid w:val="00620219"/>
    <w:rsid w:val="00622561"/>
    <w:rsid w:val="006231F0"/>
    <w:rsid w:val="00632AE2"/>
    <w:rsid w:val="00641341"/>
    <w:rsid w:val="00644697"/>
    <w:rsid w:val="00650E45"/>
    <w:rsid w:val="00654304"/>
    <w:rsid w:val="0065792F"/>
    <w:rsid w:val="00661CEA"/>
    <w:rsid w:val="00662243"/>
    <w:rsid w:val="00690484"/>
    <w:rsid w:val="00690CA9"/>
    <w:rsid w:val="00693EDA"/>
    <w:rsid w:val="006A10D7"/>
    <w:rsid w:val="006A1739"/>
    <w:rsid w:val="006A2FD0"/>
    <w:rsid w:val="006B0566"/>
    <w:rsid w:val="006B1F8C"/>
    <w:rsid w:val="006B63AF"/>
    <w:rsid w:val="006B7C8D"/>
    <w:rsid w:val="006D02E8"/>
    <w:rsid w:val="007020EC"/>
    <w:rsid w:val="007041A2"/>
    <w:rsid w:val="00707B3C"/>
    <w:rsid w:val="00742C54"/>
    <w:rsid w:val="0074671F"/>
    <w:rsid w:val="00781517"/>
    <w:rsid w:val="0078177E"/>
    <w:rsid w:val="007C4890"/>
    <w:rsid w:val="0082101F"/>
    <w:rsid w:val="008331E5"/>
    <w:rsid w:val="00837933"/>
    <w:rsid w:val="008530EB"/>
    <w:rsid w:val="00865C1B"/>
    <w:rsid w:val="008740C6"/>
    <w:rsid w:val="00877750"/>
    <w:rsid w:val="008851A5"/>
    <w:rsid w:val="008954AD"/>
    <w:rsid w:val="008A1FF3"/>
    <w:rsid w:val="008A240A"/>
    <w:rsid w:val="008A4FF0"/>
    <w:rsid w:val="008B2292"/>
    <w:rsid w:val="008C1695"/>
    <w:rsid w:val="008D465F"/>
    <w:rsid w:val="009118EB"/>
    <w:rsid w:val="00936B24"/>
    <w:rsid w:val="00936CBE"/>
    <w:rsid w:val="00946AB7"/>
    <w:rsid w:val="0095554E"/>
    <w:rsid w:val="00963623"/>
    <w:rsid w:val="00971D80"/>
    <w:rsid w:val="00972FAE"/>
    <w:rsid w:val="00993CBA"/>
    <w:rsid w:val="009A15F7"/>
    <w:rsid w:val="009A3029"/>
    <w:rsid w:val="009B7F74"/>
    <w:rsid w:val="009C586F"/>
    <w:rsid w:val="009C6ECB"/>
    <w:rsid w:val="009D1F71"/>
    <w:rsid w:val="009D75BD"/>
    <w:rsid w:val="009E10B0"/>
    <w:rsid w:val="009F3664"/>
    <w:rsid w:val="00A05D8E"/>
    <w:rsid w:val="00A05F96"/>
    <w:rsid w:val="00A1159E"/>
    <w:rsid w:val="00A20084"/>
    <w:rsid w:val="00A25DAA"/>
    <w:rsid w:val="00A316C3"/>
    <w:rsid w:val="00A329C4"/>
    <w:rsid w:val="00A3467B"/>
    <w:rsid w:val="00A377E2"/>
    <w:rsid w:val="00A50167"/>
    <w:rsid w:val="00A71A07"/>
    <w:rsid w:val="00A72EF8"/>
    <w:rsid w:val="00A73301"/>
    <w:rsid w:val="00A75838"/>
    <w:rsid w:val="00AA0A27"/>
    <w:rsid w:val="00AB073E"/>
    <w:rsid w:val="00AB73F5"/>
    <w:rsid w:val="00AC4BA9"/>
    <w:rsid w:val="00AD62FF"/>
    <w:rsid w:val="00AE3775"/>
    <w:rsid w:val="00AF68E2"/>
    <w:rsid w:val="00B10961"/>
    <w:rsid w:val="00B115C0"/>
    <w:rsid w:val="00B13F74"/>
    <w:rsid w:val="00B52BD7"/>
    <w:rsid w:val="00B55B48"/>
    <w:rsid w:val="00B609F9"/>
    <w:rsid w:val="00B72FD5"/>
    <w:rsid w:val="00B9441C"/>
    <w:rsid w:val="00B97F4E"/>
    <w:rsid w:val="00BB4EB1"/>
    <w:rsid w:val="00BB783D"/>
    <w:rsid w:val="00BD6A04"/>
    <w:rsid w:val="00BF5D0F"/>
    <w:rsid w:val="00BF73F3"/>
    <w:rsid w:val="00C00C89"/>
    <w:rsid w:val="00C14F6D"/>
    <w:rsid w:val="00C252F1"/>
    <w:rsid w:val="00C26C09"/>
    <w:rsid w:val="00C27E18"/>
    <w:rsid w:val="00C50457"/>
    <w:rsid w:val="00C54A26"/>
    <w:rsid w:val="00C628E5"/>
    <w:rsid w:val="00C64E1E"/>
    <w:rsid w:val="00C669CB"/>
    <w:rsid w:val="00C720DA"/>
    <w:rsid w:val="00C74F14"/>
    <w:rsid w:val="00C80E80"/>
    <w:rsid w:val="00C8248E"/>
    <w:rsid w:val="00C84326"/>
    <w:rsid w:val="00C86BA1"/>
    <w:rsid w:val="00C90AA7"/>
    <w:rsid w:val="00C94CBD"/>
    <w:rsid w:val="00C9551F"/>
    <w:rsid w:val="00C96953"/>
    <w:rsid w:val="00CA1A84"/>
    <w:rsid w:val="00CB1622"/>
    <w:rsid w:val="00CC18DE"/>
    <w:rsid w:val="00CC6A25"/>
    <w:rsid w:val="00CD74F0"/>
    <w:rsid w:val="00CE2D92"/>
    <w:rsid w:val="00CE4C6C"/>
    <w:rsid w:val="00CE65C6"/>
    <w:rsid w:val="00CF3F5E"/>
    <w:rsid w:val="00CF5007"/>
    <w:rsid w:val="00D035A1"/>
    <w:rsid w:val="00D17EB4"/>
    <w:rsid w:val="00D26B55"/>
    <w:rsid w:val="00D32F43"/>
    <w:rsid w:val="00DA6398"/>
    <w:rsid w:val="00DB277C"/>
    <w:rsid w:val="00DB280A"/>
    <w:rsid w:val="00DB714F"/>
    <w:rsid w:val="00DC0119"/>
    <w:rsid w:val="00DE3BD3"/>
    <w:rsid w:val="00DE61CD"/>
    <w:rsid w:val="00DF3278"/>
    <w:rsid w:val="00DF4BDB"/>
    <w:rsid w:val="00E06630"/>
    <w:rsid w:val="00E20793"/>
    <w:rsid w:val="00E22AF5"/>
    <w:rsid w:val="00E26583"/>
    <w:rsid w:val="00E34F66"/>
    <w:rsid w:val="00E64C0D"/>
    <w:rsid w:val="00E8409F"/>
    <w:rsid w:val="00E85027"/>
    <w:rsid w:val="00EB40AE"/>
    <w:rsid w:val="00EB4E0B"/>
    <w:rsid w:val="00EC333C"/>
    <w:rsid w:val="00EF6560"/>
    <w:rsid w:val="00F11FA9"/>
    <w:rsid w:val="00F278D1"/>
    <w:rsid w:val="00F377E3"/>
    <w:rsid w:val="00F45F32"/>
    <w:rsid w:val="00F47FB7"/>
    <w:rsid w:val="00F50F4E"/>
    <w:rsid w:val="00F61241"/>
    <w:rsid w:val="00F64626"/>
    <w:rsid w:val="00F96C34"/>
    <w:rsid w:val="00FA3BE2"/>
    <w:rsid w:val="00FB108F"/>
    <w:rsid w:val="00FB39AE"/>
    <w:rsid w:val="00FC59F5"/>
    <w:rsid w:val="00FC7BF4"/>
    <w:rsid w:val="00FD0314"/>
    <w:rsid w:val="00FE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AAB1"/>
  <w15:chartTrackingRefBased/>
  <w15:docId w15:val="{1EC1A0C6-546C-4180-B0C8-814225AB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5558"/>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55558"/>
    <w:pPr>
      <w:ind w:left="720"/>
      <w:contextualSpacing/>
    </w:pPr>
  </w:style>
  <w:style w:type="paragraph" w:customStyle="1" w:styleId="xmsonormal">
    <w:name w:val="x_msonormal"/>
    <w:basedOn w:val="Normal"/>
    <w:rsid w:val="00C54A26"/>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B7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60D"/>
    <w:rPr>
      <w:rFonts w:ascii="Segoe UI" w:hAnsi="Segoe UI" w:cs="Segoe UI"/>
      <w:sz w:val="18"/>
      <w:szCs w:val="18"/>
    </w:rPr>
  </w:style>
  <w:style w:type="character" w:styleId="Hyperlink">
    <w:name w:val="Hyperlink"/>
    <w:basedOn w:val="DefaultParagraphFont"/>
    <w:uiPriority w:val="99"/>
    <w:unhideWhenUsed/>
    <w:rsid w:val="00544426"/>
    <w:rPr>
      <w:color w:val="0563C1"/>
      <w:u w:val="single"/>
    </w:rPr>
  </w:style>
  <w:style w:type="character" w:styleId="Strong">
    <w:name w:val="Strong"/>
    <w:basedOn w:val="DefaultParagraphFont"/>
    <w:uiPriority w:val="22"/>
    <w:qFormat/>
    <w:rsid w:val="0046399B"/>
    <w:rPr>
      <w:b/>
      <w:bCs/>
    </w:rPr>
  </w:style>
  <w:style w:type="paragraph" w:customStyle="1" w:styleId="paragraph">
    <w:name w:val="paragraph"/>
    <w:basedOn w:val="Normal"/>
    <w:rsid w:val="00CF500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F5007"/>
  </w:style>
  <w:style w:type="character" w:customStyle="1" w:styleId="eop">
    <w:name w:val="eop"/>
    <w:basedOn w:val="DefaultParagraphFont"/>
    <w:rsid w:val="00CF5007"/>
  </w:style>
  <w:style w:type="character" w:customStyle="1" w:styleId="tabchar">
    <w:name w:val="tabchar"/>
    <w:basedOn w:val="DefaultParagraphFont"/>
    <w:rsid w:val="002961F6"/>
  </w:style>
  <w:style w:type="paragraph" w:styleId="PlainText">
    <w:name w:val="Plain Text"/>
    <w:basedOn w:val="Normal"/>
    <w:link w:val="PlainTextChar"/>
    <w:uiPriority w:val="99"/>
    <w:unhideWhenUsed/>
    <w:rsid w:val="00C628E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C628E5"/>
    <w:rPr>
      <w:rFonts w:ascii="Calibri" w:hAnsi="Calibri" w:cs="Calibri"/>
    </w:rPr>
  </w:style>
  <w:style w:type="character" w:styleId="Emphasis">
    <w:name w:val="Emphasis"/>
    <w:basedOn w:val="DefaultParagraphFont"/>
    <w:uiPriority w:val="20"/>
    <w:qFormat/>
    <w:rsid w:val="008851A5"/>
    <w:rPr>
      <w:i/>
      <w:iCs/>
    </w:rPr>
  </w:style>
  <w:style w:type="paragraph" w:customStyle="1" w:styleId="xxxmsonormal">
    <w:name w:val="x_x_x_msonormal"/>
    <w:basedOn w:val="Normal"/>
    <w:rsid w:val="005537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8151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F3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9366">
      <w:bodyDiv w:val="1"/>
      <w:marLeft w:val="0"/>
      <w:marRight w:val="0"/>
      <w:marTop w:val="0"/>
      <w:marBottom w:val="0"/>
      <w:divBdr>
        <w:top w:val="none" w:sz="0" w:space="0" w:color="auto"/>
        <w:left w:val="none" w:sz="0" w:space="0" w:color="auto"/>
        <w:bottom w:val="none" w:sz="0" w:space="0" w:color="auto"/>
        <w:right w:val="none" w:sz="0" w:space="0" w:color="auto"/>
      </w:divBdr>
    </w:div>
    <w:div w:id="105466395">
      <w:bodyDiv w:val="1"/>
      <w:marLeft w:val="0"/>
      <w:marRight w:val="0"/>
      <w:marTop w:val="0"/>
      <w:marBottom w:val="0"/>
      <w:divBdr>
        <w:top w:val="none" w:sz="0" w:space="0" w:color="auto"/>
        <w:left w:val="none" w:sz="0" w:space="0" w:color="auto"/>
        <w:bottom w:val="none" w:sz="0" w:space="0" w:color="auto"/>
        <w:right w:val="none" w:sz="0" w:space="0" w:color="auto"/>
      </w:divBdr>
    </w:div>
    <w:div w:id="155845823">
      <w:bodyDiv w:val="1"/>
      <w:marLeft w:val="0"/>
      <w:marRight w:val="0"/>
      <w:marTop w:val="0"/>
      <w:marBottom w:val="0"/>
      <w:divBdr>
        <w:top w:val="none" w:sz="0" w:space="0" w:color="auto"/>
        <w:left w:val="none" w:sz="0" w:space="0" w:color="auto"/>
        <w:bottom w:val="none" w:sz="0" w:space="0" w:color="auto"/>
        <w:right w:val="none" w:sz="0" w:space="0" w:color="auto"/>
      </w:divBdr>
    </w:div>
    <w:div w:id="174266964">
      <w:bodyDiv w:val="1"/>
      <w:marLeft w:val="0"/>
      <w:marRight w:val="0"/>
      <w:marTop w:val="0"/>
      <w:marBottom w:val="0"/>
      <w:divBdr>
        <w:top w:val="none" w:sz="0" w:space="0" w:color="auto"/>
        <w:left w:val="none" w:sz="0" w:space="0" w:color="auto"/>
        <w:bottom w:val="none" w:sz="0" w:space="0" w:color="auto"/>
        <w:right w:val="none" w:sz="0" w:space="0" w:color="auto"/>
      </w:divBdr>
    </w:div>
    <w:div w:id="332686608">
      <w:bodyDiv w:val="1"/>
      <w:marLeft w:val="0"/>
      <w:marRight w:val="0"/>
      <w:marTop w:val="0"/>
      <w:marBottom w:val="0"/>
      <w:divBdr>
        <w:top w:val="none" w:sz="0" w:space="0" w:color="auto"/>
        <w:left w:val="none" w:sz="0" w:space="0" w:color="auto"/>
        <w:bottom w:val="none" w:sz="0" w:space="0" w:color="auto"/>
        <w:right w:val="none" w:sz="0" w:space="0" w:color="auto"/>
      </w:divBdr>
    </w:div>
    <w:div w:id="334693760">
      <w:bodyDiv w:val="1"/>
      <w:marLeft w:val="0"/>
      <w:marRight w:val="0"/>
      <w:marTop w:val="0"/>
      <w:marBottom w:val="0"/>
      <w:divBdr>
        <w:top w:val="none" w:sz="0" w:space="0" w:color="auto"/>
        <w:left w:val="none" w:sz="0" w:space="0" w:color="auto"/>
        <w:bottom w:val="none" w:sz="0" w:space="0" w:color="auto"/>
        <w:right w:val="none" w:sz="0" w:space="0" w:color="auto"/>
      </w:divBdr>
    </w:div>
    <w:div w:id="335616774">
      <w:bodyDiv w:val="1"/>
      <w:marLeft w:val="0"/>
      <w:marRight w:val="0"/>
      <w:marTop w:val="0"/>
      <w:marBottom w:val="0"/>
      <w:divBdr>
        <w:top w:val="none" w:sz="0" w:space="0" w:color="auto"/>
        <w:left w:val="none" w:sz="0" w:space="0" w:color="auto"/>
        <w:bottom w:val="none" w:sz="0" w:space="0" w:color="auto"/>
        <w:right w:val="none" w:sz="0" w:space="0" w:color="auto"/>
      </w:divBdr>
    </w:div>
    <w:div w:id="348678773">
      <w:bodyDiv w:val="1"/>
      <w:marLeft w:val="0"/>
      <w:marRight w:val="0"/>
      <w:marTop w:val="0"/>
      <w:marBottom w:val="0"/>
      <w:divBdr>
        <w:top w:val="none" w:sz="0" w:space="0" w:color="auto"/>
        <w:left w:val="none" w:sz="0" w:space="0" w:color="auto"/>
        <w:bottom w:val="none" w:sz="0" w:space="0" w:color="auto"/>
        <w:right w:val="none" w:sz="0" w:space="0" w:color="auto"/>
      </w:divBdr>
    </w:div>
    <w:div w:id="359402725">
      <w:bodyDiv w:val="1"/>
      <w:marLeft w:val="0"/>
      <w:marRight w:val="0"/>
      <w:marTop w:val="0"/>
      <w:marBottom w:val="0"/>
      <w:divBdr>
        <w:top w:val="none" w:sz="0" w:space="0" w:color="auto"/>
        <w:left w:val="none" w:sz="0" w:space="0" w:color="auto"/>
        <w:bottom w:val="none" w:sz="0" w:space="0" w:color="auto"/>
        <w:right w:val="none" w:sz="0" w:space="0" w:color="auto"/>
      </w:divBdr>
    </w:div>
    <w:div w:id="463736158">
      <w:bodyDiv w:val="1"/>
      <w:marLeft w:val="0"/>
      <w:marRight w:val="0"/>
      <w:marTop w:val="0"/>
      <w:marBottom w:val="0"/>
      <w:divBdr>
        <w:top w:val="none" w:sz="0" w:space="0" w:color="auto"/>
        <w:left w:val="none" w:sz="0" w:space="0" w:color="auto"/>
        <w:bottom w:val="none" w:sz="0" w:space="0" w:color="auto"/>
        <w:right w:val="none" w:sz="0" w:space="0" w:color="auto"/>
      </w:divBdr>
    </w:div>
    <w:div w:id="464934483">
      <w:bodyDiv w:val="1"/>
      <w:marLeft w:val="0"/>
      <w:marRight w:val="0"/>
      <w:marTop w:val="0"/>
      <w:marBottom w:val="0"/>
      <w:divBdr>
        <w:top w:val="none" w:sz="0" w:space="0" w:color="auto"/>
        <w:left w:val="none" w:sz="0" w:space="0" w:color="auto"/>
        <w:bottom w:val="none" w:sz="0" w:space="0" w:color="auto"/>
        <w:right w:val="none" w:sz="0" w:space="0" w:color="auto"/>
      </w:divBdr>
    </w:div>
    <w:div w:id="500509077">
      <w:bodyDiv w:val="1"/>
      <w:marLeft w:val="0"/>
      <w:marRight w:val="0"/>
      <w:marTop w:val="0"/>
      <w:marBottom w:val="0"/>
      <w:divBdr>
        <w:top w:val="none" w:sz="0" w:space="0" w:color="auto"/>
        <w:left w:val="none" w:sz="0" w:space="0" w:color="auto"/>
        <w:bottom w:val="none" w:sz="0" w:space="0" w:color="auto"/>
        <w:right w:val="none" w:sz="0" w:space="0" w:color="auto"/>
      </w:divBdr>
    </w:div>
    <w:div w:id="501045321">
      <w:bodyDiv w:val="1"/>
      <w:marLeft w:val="0"/>
      <w:marRight w:val="0"/>
      <w:marTop w:val="0"/>
      <w:marBottom w:val="0"/>
      <w:divBdr>
        <w:top w:val="none" w:sz="0" w:space="0" w:color="auto"/>
        <w:left w:val="none" w:sz="0" w:space="0" w:color="auto"/>
        <w:bottom w:val="none" w:sz="0" w:space="0" w:color="auto"/>
        <w:right w:val="none" w:sz="0" w:space="0" w:color="auto"/>
      </w:divBdr>
    </w:div>
    <w:div w:id="577328951">
      <w:bodyDiv w:val="1"/>
      <w:marLeft w:val="0"/>
      <w:marRight w:val="0"/>
      <w:marTop w:val="0"/>
      <w:marBottom w:val="0"/>
      <w:divBdr>
        <w:top w:val="none" w:sz="0" w:space="0" w:color="auto"/>
        <w:left w:val="none" w:sz="0" w:space="0" w:color="auto"/>
        <w:bottom w:val="none" w:sz="0" w:space="0" w:color="auto"/>
        <w:right w:val="none" w:sz="0" w:space="0" w:color="auto"/>
      </w:divBdr>
    </w:div>
    <w:div w:id="624428269">
      <w:bodyDiv w:val="1"/>
      <w:marLeft w:val="0"/>
      <w:marRight w:val="0"/>
      <w:marTop w:val="0"/>
      <w:marBottom w:val="0"/>
      <w:divBdr>
        <w:top w:val="none" w:sz="0" w:space="0" w:color="auto"/>
        <w:left w:val="none" w:sz="0" w:space="0" w:color="auto"/>
        <w:bottom w:val="none" w:sz="0" w:space="0" w:color="auto"/>
        <w:right w:val="none" w:sz="0" w:space="0" w:color="auto"/>
      </w:divBdr>
    </w:div>
    <w:div w:id="664363554">
      <w:bodyDiv w:val="1"/>
      <w:marLeft w:val="0"/>
      <w:marRight w:val="0"/>
      <w:marTop w:val="0"/>
      <w:marBottom w:val="0"/>
      <w:divBdr>
        <w:top w:val="none" w:sz="0" w:space="0" w:color="auto"/>
        <w:left w:val="none" w:sz="0" w:space="0" w:color="auto"/>
        <w:bottom w:val="none" w:sz="0" w:space="0" w:color="auto"/>
        <w:right w:val="none" w:sz="0" w:space="0" w:color="auto"/>
      </w:divBdr>
    </w:div>
    <w:div w:id="667828461">
      <w:bodyDiv w:val="1"/>
      <w:marLeft w:val="0"/>
      <w:marRight w:val="0"/>
      <w:marTop w:val="0"/>
      <w:marBottom w:val="0"/>
      <w:divBdr>
        <w:top w:val="none" w:sz="0" w:space="0" w:color="auto"/>
        <w:left w:val="none" w:sz="0" w:space="0" w:color="auto"/>
        <w:bottom w:val="none" w:sz="0" w:space="0" w:color="auto"/>
        <w:right w:val="none" w:sz="0" w:space="0" w:color="auto"/>
      </w:divBdr>
    </w:div>
    <w:div w:id="678238782">
      <w:bodyDiv w:val="1"/>
      <w:marLeft w:val="0"/>
      <w:marRight w:val="0"/>
      <w:marTop w:val="0"/>
      <w:marBottom w:val="0"/>
      <w:divBdr>
        <w:top w:val="none" w:sz="0" w:space="0" w:color="auto"/>
        <w:left w:val="none" w:sz="0" w:space="0" w:color="auto"/>
        <w:bottom w:val="none" w:sz="0" w:space="0" w:color="auto"/>
        <w:right w:val="none" w:sz="0" w:space="0" w:color="auto"/>
      </w:divBdr>
    </w:div>
    <w:div w:id="751312288">
      <w:bodyDiv w:val="1"/>
      <w:marLeft w:val="0"/>
      <w:marRight w:val="0"/>
      <w:marTop w:val="0"/>
      <w:marBottom w:val="0"/>
      <w:divBdr>
        <w:top w:val="none" w:sz="0" w:space="0" w:color="auto"/>
        <w:left w:val="none" w:sz="0" w:space="0" w:color="auto"/>
        <w:bottom w:val="none" w:sz="0" w:space="0" w:color="auto"/>
        <w:right w:val="none" w:sz="0" w:space="0" w:color="auto"/>
      </w:divBdr>
    </w:div>
    <w:div w:id="774062989">
      <w:bodyDiv w:val="1"/>
      <w:marLeft w:val="0"/>
      <w:marRight w:val="0"/>
      <w:marTop w:val="0"/>
      <w:marBottom w:val="0"/>
      <w:divBdr>
        <w:top w:val="none" w:sz="0" w:space="0" w:color="auto"/>
        <w:left w:val="none" w:sz="0" w:space="0" w:color="auto"/>
        <w:bottom w:val="none" w:sz="0" w:space="0" w:color="auto"/>
        <w:right w:val="none" w:sz="0" w:space="0" w:color="auto"/>
      </w:divBdr>
    </w:div>
    <w:div w:id="799420453">
      <w:bodyDiv w:val="1"/>
      <w:marLeft w:val="0"/>
      <w:marRight w:val="0"/>
      <w:marTop w:val="0"/>
      <w:marBottom w:val="0"/>
      <w:divBdr>
        <w:top w:val="none" w:sz="0" w:space="0" w:color="auto"/>
        <w:left w:val="none" w:sz="0" w:space="0" w:color="auto"/>
        <w:bottom w:val="none" w:sz="0" w:space="0" w:color="auto"/>
        <w:right w:val="none" w:sz="0" w:space="0" w:color="auto"/>
      </w:divBdr>
    </w:div>
    <w:div w:id="834371323">
      <w:bodyDiv w:val="1"/>
      <w:marLeft w:val="0"/>
      <w:marRight w:val="0"/>
      <w:marTop w:val="0"/>
      <w:marBottom w:val="0"/>
      <w:divBdr>
        <w:top w:val="none" w:sz="0" w:space="0" w:color="auto"/>
        <w:left w:val="none" w:sz="0" w:space="0" w:color="auto"/>
        <w:bottom w:val="none" w:sz="0" w:space="0" w:color="auto"/>
        <w:right w:val="none" w:sz="0" w:space="0" w:color="auto"/>
      </w:divBdr>
    </w:div>
    <w:div w:id="878275338">
      <w:bodyDiv w:val="1"/>
      <w:marLeft w:val="0"/>
      <w:marRight w:val="0"/>
      <w:marTop w:val="0"/>
      <w:marBottom w:val="0"/>
      <w:divBdr>
        <w:top w:val="none" w:sz="0" w:space="0" w:color="auto"/>
        <w:left w:val="none" w:sz="0" w:space="0" w:color="auto"/>
        <w:bottom w:val="none" w:sz="0" w:space="0" w:color="auto"/>
        <w:right w:val="none" w:sz="0" w:space="0" w:color="auto"/>
      </w:divBdr>
    </w:div>
    <w:div w:id="888034028">
      <w:bodyDiv w:val="1"/>
      <w:marLeft w:val="0"/>
      <w:marRight w:val="0"/>
      <w:marTop w:val="0"/>
      <w:marBottom w:val="0"/>
      <w:divBdr>
        <w:top w:val="none" w:sz="0" w:space="0" w:color="auto"/>
        <w:left w:val="none" w:sz="0" w:space="0" w:color="auto"/>
        <w:bottom w:val="none" w:sz="0" w:space="0" w:color="auto"/>
        <w:right w:val="none" w:sz="0" w:space="0" w:color="auto"/>
      </w:divBdr>
    </w:div>
    <w:div w:id="906183329">
      <w:bodyDiv w:val="1"/>
      <w:marLeft w:val="0"/>
      <w:marRight w:val="0"/>
      <w:marTop w:val="0"/>
      <w:marBottom w:val="0"/>
      <w:divBdr>
        <w:top w:val="none" w:sz="0" w:space="0" w:color="auto"/>
        <w:left w:val="none" w:sz="0" w:space="0" w:color="auto"/>
        <w:bottom w:val="none" w:sz="0" w:space="0" w:color="auto"/>
        <w:right w:val="none" w:sz="0" w:space="0" w:color="auto"/>
      </w:divBdr>
    </w:div>
    <w:div w:id="912203208">
      <w:bodyDiv w:val="1"/>
      <w:marLeft w:val="0"/>
      <w:marRight w:val="0"/>
      <w:marTop w:val="0"/>
      <w:marBottom w:val="0"/>
      <w:divBdr>
        <w:top w:val="none" w:sz="0" w:space="0" w:color="auto"/>
        <w:left w:val="none" w:sz="0" w:space="0" w:color="auto"/>
        <w:bottom w:val="none" w:sz="0" w:space="0" w:color="auto"/>
        <w:right w:val="none" w:sz="0" w:space="0" w:color="auto"/>
      </w:divBdr>
    </w:div>
    <w:div w:id="1053430277">
      <w:bodyDiv w:val="1"/>
      <w:marLeft w:val="0"/>
      <w:marRight w:val="0"/>
      <w:marTop w:val="0"/>
      <w:marBottom w:val="0"/>
      <w:divBdr>
        <w:top w:val="none" w:sz="0" w:space="0" w:color="auto"/>
        <w:left w:val="none" w:sz="0" w:space="0" w:color="auto"/>
        <w:bottom w:val="none" w:sz="0" w:space="0" w:color="auto"/>
        <w:right w:val="none" w:sz="0" w:space="0" w:color="auto"/>
      </w:divBdr>
    </w:div>
    <w:div w:id="1075778703">
      <w:bodyDiv w:val="1"/>
      <w:marLeft w:val="0"/>
      <w:marRight w:val="0"/>
      <w:marTop w:val="0"/>
      <w:marBottom w:val="0"/>
      <w:divBdr>
        <w:top w:val="none" w:sz="0" w:space="0" w:color="auto"/>
        <w:left w:val="none" w:sz="0" w:space="0" w:color="auto"/>
        <w:bottom w:val="none" w:sz="0" w:space="0" w:color="auto"/>
        <w:right w:val="none" w:sz="0" w:space="0" w:color="auto"/>
      </w:divBdr>
    </w:div>
    <w:div w:id="1133790534">
      <w:bodyDiv w:val="1"/>
      <w:marLeft w:val="0"/>
      <w:marRight w:val="0"/>
      <w:marTop w:val="0"/>
      <w:marBottom w:val="0"/>
      <w:divBdr>
        <w:top w:val="none" w:sz="0" w:space="0" w:color="auto"/>
        <w:left w:val="none" w:sz="0" w:space="0" w:color="auto"/>
        <w:bottom w:val="none" w:sz="0" w:space="0" w:color="auto"/>
        <w:right w:val="none" w:sz="0" w:space="0" w:color="auto"/>
      </w:divBdr>
    </w:div>
    <w:div w:id="1159032438">
      <w:bodyDiv w:val="1"/>
      <w:marLeft w:val="0"/>
      <w:marRight w:val="0"/>
      <w:marTop w:val="0"/>
      <w:marBottom w:val="0"/>
      <w:divBdr>
        <w:top w:val="none" w:sz="0" w:space="0" w:color="auto"/>
        <w:left w:val="none" w:sz="0" w:space="0" w:color="auto"/>
        <w:bottom w:val="none" w:sz="0" w:space="0" w:color="auto"/>
        <w:right w:val="none" w:sz="0" w:space="0" w:color="auto"/>
      </w:divBdr>
    </w:div>
    <w:div w:id="1202865971">
      <w:bodyDiv w:val="1"/>
      <w:marLeft w:val="0"/>
      <w:marRight w:val="0"/>
      <w:marTop w:val="0"/>
      <w:marBottom w:val="0"/>
      <w:divBdr>
        <w:top w:val="none" w:sz="0" w:space="0" w:color="auto"/>
        <w:left w:val="none" w:sz="0" w:space="0" w:color="auto"/>
        <w:bottom w:val="none" w:sz="0" w:space="0" w:color="auto"/>
        <w:right w:val="none" w:sz="0" w:space="0" w:color="auto"/>
      </w:divBdr>
    </w:div>
    <w:div w:id="1223830594">
      <w:bodyDiv w:val="1"/>
      <w:marLeft w:val="0"/>
      <w:marRight w:val="0"/>
      <w:marTop w:val="0"/>
      <w:marBottom w:val="0"/>
      <w:divBdr>
        <w:top w:val="none" w:sz="0" w:space="0" w:color="auto"/>
        <w:left w:val="none" w:sz="0" w:space="0" w:color="auto"/>
        <w:bottom w:val="none" w:sz="0" w:space="0" w:color="auto"/>
        <w:right w:val="none" w:sz="0" w:space="0" w:color="auto"/>
      </w:divBdr>
    </w:div>
    <w:div w:id="1232235200">
      <w:bodyDiv w:val="1"/>
      <w:marLeft w:val="0"/>
      <w:marRight w:val="0"/>
      <w:marTop w:val="0"/>
      <w:marBottom w:val="0"/>
      <w:divBdr>
        <w:top w:val="none" w:sz="0" w:space="0" w:color="auto"/>
        <w:left w:val="none" w:sz="0" w:space="0" w:color="auto"/>
        <w:bottom w:val="none" w:sz="0" w:space="0" w:color="auto"/>
        <w:right w:val="none" w:sz="0" w:space="0" w:color="auto"/>
      </w:divBdr>
    </w:div>
    <w:div w:id="1280259927">
      <w:bodyDiv w:val="1"/>
      <w:marLeft w:val="0"/>
      <w:marRight w:val="0"/>
      <w:marTop w:val="0"/>
      <w:marBottom w:val="0"/>
      <w:divBdr>
        <w:top w:val="none" w:sz="0" w:space="0" w:color="auto"/>
        <w:left w:val="none" w:sz="0" w:space="0" w:color="auto"/>
        <w:bottom w:val="none" w:sz="0" w:space="0" w:color="auto"/>
        <w:right w:val="none" w:sz="0" w:space="0" w:color="auto"/>
      </w:divBdr>
    </w:div>
    <w:div w:id="1281491288">
      <w:bodyDiv w:val="1"/>
      <w:marLeft w:val="0"/>
      <w:marRight w:val="0"/>
      <w:marTop w:val="0"/>
      <w:marBottom w:val="0"/>
      <w:divBdr>
        <w:top w:val="none" w:sz="0" w:space="0" w:color="auto"/>
        <w:left w:val="none" w:sz="0" w:space="0" w:color="auto"/>
        <w:bottom w:val="none" w:sz="0" w:space="0" w:color="auto"/>
        <w:right w:val="none" w:sz="0" w:space="0" w:color="auto"/>
      </w:divBdr>
    </w:div>
    <w:div w:id="1351906410">
      <w:bodyDiv w:val="1"/>
      <w:marLeft w:val="0"/>
      <w:marRight w:val="0"/>
      <w:marTop w:val="0"/>
      <w:marBottom w:val="0"/>
      <w:divBdr>
        <w:top w:val="none" w:sz="0" w:space="0" w:color="auto"/>
        <w:left w:val="none" w:sz="0" w:space="0" w:color="auto"/>
        <w:bottom w:val="none" w:sz="0" w:space="0" w:color="auto"/>
        <w:right w:val="none" w:sz="0" w:space="0" w:color="auto"/>
      </w:divBdr>
    </w:div>
    <w:div w:id="1358506339">
      <w:bodyDiv w:val="1"/>
      <w:marLeft w:val="0"/>
      <w:marRight w:val="0"/>
      <w:marTop w:val="0"/>
      <w:marBottom w:val="0"/>
      <w:divBdr>
        <w:top w:val="none" w:sz="0" w:space="0" w:color="auto"/>
        <w:left w:val="none" w:sz="0" w:space="0" w:color="auto"/>
        <w:bottom w:val="none" w:sz="0" w:space="0" w:color="auto"/>
        <w:right w:val="none" w:sz="0" w:space="0" w:color="auto"/>
      </w:divBdr>
    </w:div>
    <w:div w:id="1403716103">
      <w:bodyDiv w:val="1"/>
      <w:marLeft w:val="0"/>
      <w:marRight w:val="0"/>
      <w:marTop w:val="0"/>
      <w:marBottom w:val="0"/>
      <w:divBdr>
        <w:top w:val="none" w:sz="0" w:space="0" w:color="auto"/>
        <w:left w:val="none" w:sz="0" w:space="0" w:color="auto"/>
        <w:bottom w:val="none" w:sz="0" w:space="0" w:color="auto"/>
        <w:right w:val="none" w:sz="0" w:space="0" w:color="auto"/>
      </w:divBdr>
    </w:div>
    <w:div w:id="1439989459">
      <w:bodyDiv w:val="1"/>
      <w:marLeft w:val="0"/>
      <w:marRight w:val="0"/>
      <w:marTop w:val="0"/>
      <w:marBottom w:val="0"/>
      <w:divBdr>
        <w:top w:val="none" w:sz="0" w:space="0" w:color="auto"/>
        <w:left w:val="none" w:sz="0" w:space="0" w:color="auto"/>
        <w:bottom w:val="none" w:sz="0" w:space="0" w:color="auto"/>
        <w:right w:val="none" w:sz="0" w:space="0" w:color="auto"/>
      </w:divBdr>
    </w:div>
    <w:div w:id="1445072404">
      <w:bodyDiv w:val="1"/>
      <w:marLeft w:val="0"/>
      <w:marRight w:val="0"/>
      <w:marTop w:val="0"/>
      <w:marBottom w:val="0"/>
      <w:divBdr>
        <w:top w:val="none" w:sz="0" w:space="0" w:color="auto"/>
        <w:left w:val="none" w:sz="0" w:space="0" w:color="auto"/>
        <w:bottom w:val="none" w:sz="0" w:space="0" w:color="auto"/>
        <w:right w:val="none" w:sz="0" w:space="0" w:color="auto"/>
      </w:divBdr>
    </w:div>
    <w:div w:id="1465197796">
      <w:bodyDiv w:val="1"/>
      <w:marLeft w:val="0"/>
      <w:marRight w:val="0"/>
      <w:marTop w:val="0"/>
      <w:marBottom w:val="0"/>
      <w:divBdr>
        <w:top w:val="none" w:sz="0" w:space="0" w:color="auto"/>
        <w:left w:val="none" w:sz="0" w:space="0" w:color="auto"/>
        <w:bottom w:val="none" w:sz="0" w:space="0" w:color="auto"/>
        <w:right w:val="none" w:sz="0" w:space="0" w:color="auto"/>
      </w:divBdr>
    </w:div>
    <w:div w:id="1471245431">
      <w:bodyDiv w:val="1"/>
      <w:marLeft w:val="0"/>
      <w:marRight w:val="0"/>
      <w:marTop w:val="0"/>
      <w:marBottom w:val="0"/>
      <w:divBdr>
        <w:top w:val="none" w:sz="0" w:space="0" w:color="auto"/>
        <w:left w:val="none" w:sz="0" w:space="0" w:color="auto"/>
        <w:bottom w:val="none" w:sz="0" w:space="0" w:color="auto"/>
        <w:right w:val="none" w:sz="0" w:space="0" w:color="auto"/>
      </w:divBdr>
    </w:div>
    <w:div w:id="1551571811">
      <w:bodyDiv w:val="1"/>
      <w:marLeft w:val="0"/>
      <w:marRight w:val="0"/>
      <w:marTop w:val="0"/>
      <w:marBottom w:val="0"/>
      <w:divBdr>
        <w:top w:val="none" w:sz="0" w:space="0" w:color="auto"/>
        <w:left w:val="none" w:sz="0" w:space="0" w:color="auto"/>
        <w:bottom w:val="none" w:sz="0" w:space="0" w:color="auto"/>
        <w:right w:val="none" w:sz="0" w:space="0" w:color="auto"/>
      </w:divBdr>
    </w:div>
    <w:div w:id="1597863891">
      <w:bodyDiv w:val="1"/>
      <w:marLeft w:val="0"/>
      <w:marRight w:val="0"/>
      <w:marTop w:val="0"/>
      <w:marBottom w:val="0"/>
      <w:divBdr>
        <w:top w:val="none" w:sz="0" w:space="0" w:color="auto"/>
        <w:left w:val="none" w:sz="0" w:space="0" w:color="auto"/>
        <w:bottom w:val="none" w:sz="0" w:space="0" w:color="auto"/>
        <w:right w:val="none" w:sz="0" w:space="0" w:color="auto"/>
      </w:divBdr>
    </w:div>
    <w:div w:id="1648318346">
      <w:bodyDiv w:val="1"/>
      <w:marLeft w:val="0"/>
      <w:marRight w:val="0"/>
      <w:marTop w:val="0"/>
      <w:marBottom w:val="0"/>
      <w:divBdr>
        <w:top w:val="none" w:sz="0" w:space="0" w:color="auto"/>
        <w:left w:val="none" w:sz="0" w:space="0" w:color="auto"/>
        <w:bottom w:val="none" w:sz="0" w:space="0" w:color="auto"/>
        <w:right w:val="none" w:sz="0" w:space="0" w:color="auto"/>
      </w:divBdr>
    </w:div>
    <w:div w:id="1648708653">
      <w:bodyDiv w:val="1"/>
      <w:marLeft w:val="0"/>
      <w:marRight w:val="0"/>
      <w:marTop w:val="0"/>
      <w:marBottom w:val="0"/>
      <w:divBdr>
        <w:top w:val="none" w:sz="0" w:space="0" w:color="auto"/>
        <w:left w:val="none" w:sz="0" w:space="0" w:color="auto"/>
        <w:bottom w:val="none" w:sz="0" w:space="0" w:color="auto"/>
        <w:right w:val="none" w:sz="0" w:space="0" w:color="auto"/>
      </w:divBdr>
    </w:div>
    <w:div w:id="1679195704">
      <w:bodyDiv w:val="1"/>
      <w:marLeft w:val="0"/>
      <w:marRight w:val="0"/>
      <w:marTop w:val="0"/>
      <w:marBottom w:val="0"/>
      <w:divBdr>
        <w:top w:val="none" w:sz="0" w:space="0" w:color="auto"/>
        <w:left w:val="none" w:sz="0" w:space="0" w:color="auto"/>
        <w:bottom w:val="none" w:sz="0" w:space="0" w:color="auto"/>
        <w:right w:val="none" w:sz="0" w:space="0" w:color="auto"/>
      </w:divBdr>
    </w:div>
    <w:div w:id="1687437682">
      <w:bodyDiv w:val="1"/>
      <w:marLeft w:val="0"/>
      <w:marRight w:val="0"/>
      <w:marTop w:val="0"/>
      <w:marBottom w:val="0"/>
      <w:divBdr>
        <w:top w:val="none" w:sz="0" w:space="0" w:color="auto"/>
        <w:left w:val="none" w:sz="0" w:space="0" w:color="auto"/>
        <w:bottom w:val="none" w:sz="0" w:space="0" w:color="auto"/>
        <w:right w:val="none" w:sz="0" w:space="0" w:color="auto"/>
      </w:divBdr>
    </w:div>
    <w:div w:id="1715882717">
      <w:bodyDiv w:val="1"/>
      <w:marLeft w:val="0"/>
      <w:marRight w:val="0"/>
      <w:marTop w:val="0"/>
      <w:marBottom w:val="0"/>
      <w:divBdr>
        <w:top w:val="none" w:sz="0" w:space="0" w:color="auto"/>
        <w:left w:val="none" w:sz="0" w:space="0" w:color="auto"/>
        <w:bottom w:val="none" w:sz="0" w:space="0" w:color="auto"/>
        <w:right w:val="none" w:sz="0" w:space="0" w:color="auto"/>
      </w:divBdr>
    </w:div>
    <w:div w:id="1830321057">
      <w:bodyDiv w:val="1"/>
      <w:marLeft w:val="0"/>
      <w:marRight w:val="0"/>
      <w:marTop w:val="0"/>
      <w:marBottom w:val="0"/>
      <w:divBdr>
        <w:top w:val="none" w:sz="0" w:space="0" w:color="auto"/>
        <w:left w:val="none" w:sz="0" w:space="0" w:color="auto"/>
        <w:bottom w:val="none" w:sz="0" w:space="0" w:color="auto"/>
        <w:right w:val="none" w:sz="0" w:space="0" w:color="auto"/>
      </w:divBdr>
    </w:div>
    <w:div w:id="1851022238">
      <w:bodyDiv w:val="1"/>
      <w:marLeft w:val="0"/>
      <w:marRight w:val="0"/>
      <w:marTop w:val="0"/>
      <w:marBottom w:val="0"/>
      <w:divBdr>
        <w:top w:val="none" w:sz="0" w:space="0" w:color="auto"/>
        <w:left w:val="none" w:sz="0" w:space="0" w:color="auto"/>
        <w:bottom w:val="none" w:sz="0" w:space="0" w:color="auto"/>
        <w:right w:val="none" w:sz="0" w:space="0" w:color="auto"/>
      </w:divBdr>
    </w:div>
    <w:div w:id="1902448618">
      <w:bodyDiv w:val="1"/>
      <w:marLeft w:val="0"/>
      <w:marRight w:val="0"/>
      <w:marTop w:val="0"/>
      <w:marBottom w:val="0"/>
      <w:divBdr>
        <w:top w:val="none" w:sz="0" w:space="0" w:color="auto"/>
        <w:left w:val="none" w:sz="0" w:space="0" w:color="auto"/>
        <w:bottom w:val="none" w:sz="0" w:space="0" w:color="auto"/>
        <w:right w:val="none" w:sz="0" w:space="0" w:color="auto"/>
      </w:divBdr>
    </w:div>
    <w:div w:id="2000690886">
      <w:bodyDiv w:val="1"/>
      <w:marLeft w:val="0"/>
      <w:marRight w:val="0"/>
      <w:marTop w:val="0"/>
      <w:marBottom w:val="0"/>
      <w:divBdr>
        <w:top w:val="none" w:sz="0" w:space="0" w:color="auto"/>
        <w:left w:val="none" w:sz="0" w:space="0" w:color="auto"/>
        <w:bottom w:val="none" w:sz="0" w:space="0" w:color="auto"/>
        <w:right w:val="none" w:sz="0" w:space="0" w:color="auto"/>
      </w:divBdr>
    </w:div>
    <w:div w:id="2031904427">
      <w:bodyDiv w:val="1"/>
      <w:marLeft w:val="0"/>
      <w:marRight w:val="0"/>
      <w:marTop w:val="0"/>
      <w:marBottom w:val="0"/>
      <w:divBdr>
        <w:top w:val="none" w:sz="0" w:space="0" w:color="auto"/>
        <w:left w:val="none" w:sz="0" w:space="0" w:color="auto"/>
        <w:bottom w:val="none" w:sz="0" w:space="0" w:color="auto"/>
        <w:right w:val="none" w:sz="0" w:space="0" w:color="auto"/>
      </w:divBdr>
    </w:div>
    <w:div w:id="2053068322">
      <w:bodyDiv w:val="1"/>
      <w:marLeft w:val="0"/>
      <w:marRight w:val="0"/>
      <w:marTop w:val="0"/>
      <w:marBottom w:val="0"/>
      <w:divBdr>
        <w:top w:val="none" w:sz="0" w:space="0" w:color="auto"/>
        <w:left w:val="none" w:sz="0" w:space="0" w:color="auto"/>
        <w:bottom w:val="none" w:sz="0" w:space="0" w:color="auto"/>
        <w:right w:val="none" w:sz="0" w:space="0" w:color="auto"/>
      </w:divBdr>
    </w:div>
    <w:div w:id="2058509046">
      <w:bodyDiv w:val="1"/>
      <w:marLeft w:val="0"/>
      <w:marRight w:val="0"/>
      <w:marTop w:val="0"/>
      <w:marBottom w:val="0"/>
      <w:divBdr>
        <w:top w:val="none" w:sz="0" w:space="0" w:color="auto"/>
        <w:left w:val="none" w:sz="0" w:space="0" w:color="auto"/>
        <w:bottom w:val="none" w:sz="0" w:space="0" w:color="auto"/>
        <w:right w:val="none" w:sz="0" w:space="0" w:color="auto"/>
      </w:divBdr>
    </w:div>
    <w:div w:id="2061705060">
      <w:bodyDiv w:val="1"/>
      <w:marLeft w:val="0"/>
      <w:marRight w:val="0"/>
      <w:marTop w:val="0"/>
      <w:marBottom w:val="0"/>
      <w:divBdr>
        <w:top w:val="none" w:sz="0" w:space="0" w:color="auto"/>
        <w:left w:val="none" w:sz="0" w:space="0" w:color="auto"/>
        <w:bottom w:val="none" w:sz="0" w:space="0" w:color="auto"/>
        <w:right w:val="none" w:sz="0" w:space="0" w:color="auto"/>
      </w:divBdr>
    </w:div>
    <w:div w:id="21084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susb.zoom.us/j/8576302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5f2d0c-694b-452a-960c-bc2c3ad76c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510BF0ADC5834B94C853045FE3CCE8" ma:contentTypeVersion="15" ma:contentTypeDescription="Create a new document." ma:contentTypeScope="" ma:versionID="d0328efec63dc6020f0b53261c911b65">
  <xsd:schema xmlns:xsd="http://www.w3.org/2001/XMLSchema" xmlns:xs="http://www.w3.org/2001/XMLSchema" xmlns:p="http://schemas.microsoft.com/office/2006/metadata/properties" xmlns:ns3="dc5f2d0c-694b-452a-960c-bc2c3ad76c47" xmlns:ns4="388d6836-9911-42d9-ab3b-6aa146bd6642" targetNamespace="http://schemas.microsoft.com/office/2006/metadata/properties" ma:root="true" ma:fieldsID="e3a870466672e9de6b547d137379506f" ns3:_="" ns4:_="">
    <xsd:import namespace="dc5f2d0c-694b-452a-960c-bc2c3ad76c47"/>
    <xsd:import namespace="388d6836-9911-42d9-ab3b-6aa146bd66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f2d0c-694b-452a-960c-bc2c3ad76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d6836-9911-42d9-ab3b-6aa146bd664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3F29-11D2-40D2-BDF6-BA9BE4EF7F4E}">
  <ds:schemaRefs>
    <ds:schemaRef ds:uri="http://schemas.microsoft.com/office/2006/metadata/properties"/>
    <ds:schemaRef ds:uri="http://schemas.microsoft.com/office/infopath/2007/PartnerControls"/>
    <ds:schemaRef ds:uri="dc5f2d0c-694b-452a-960c-bc2c3ad76c47"/>
  </ds:schemaRefs>
</ds:datastoreItem>
</file>

<file path=customXml/itemProps2.xml><?xml version="1.0" encoding="utf-8"?>
<ds:datastoreItem xmlns:ds="http://schemas.openxmlformats.org/officeDocument/2006/customXml" ds:itemID="{7039228B-A4A5-4774-984C-9430E505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f2d0c-694b-452a-960c-bc2c3ad76c47"/>
    <ds:schemaRef ds:uri="388d6836-9911-42d9-ab3b-6aa146bd6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3D9E1-86F1-4C5B-BDC0-56656A534287}">
  <ds:schemaRefs>
    <ds:schemaRef ds:uri="http://schemas.microsoft.com/sharepoint/v3/contenttype/forms"/>
  </ds:schemaRefs>
</ds:datastoreItem>
</file>

<file path=customXml/itemProps4.xml><?xml version="1.0" encoding="utf-8"?>
<ds:datastoreItem xmlns:ds="http://schemas.openxmlformats.org/officeDocument/2006/customXml" ds:itemID="{34B48802-D2FD-564D-98AC-F79BF497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5920</Words>
  <Characters>33746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Roberto Hernandez</cp:lastModifiedBy>
  <cp:revision>13</cp:revision>
  <cp:lastPrinted>2020-03-02T17:02:00Z</cp:lastPrinted>
  <dcterms:created xsi:type="dcterms:W3CDTF">2023-03-24T19:41:00Z</dcterms:created>
  <dcterms:modified xsi:type="dcterms:W3CDTF">2023-05-31T19:04:00Z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0x01010027510BF0ADC5834B94C853045FE3CCE8</vt:lpwstr>
  </property>
</Properties>
</file>