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HIGHLIGHTED PUBLICATIONS</w:t>
      </w:r>
    </w:p>
    <w:p w:rsidR="00000000" w:rsidDel="00000000" w:rsidP="00000000" w:rsidRDefault="00000000" w:rsidRPr="00000000" w14:paraId="00000001">
      <w:pPr>
        <w:spacing w:after="0" w:line="240" w:lineRule="auto"/>
        <w:ind w:left="720" w:hanging="720"/>
        <w:contextualSpacing w:val="0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Manoharan, A., Fudge, M. and Holzer, M. (2011) Global trends in digital governance: A longitudinal study.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International Journal of Technology Diffusion,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2(2): 32-46.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720" w:hanging="720"/>
        <w:contextualSpacing w:val="0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Manoharan, A. and Fudge, M., (2011) An Examination of Global Municipal Government Privacy and Security Policies, In: Papadopoulos, T. and Kanellis, P. (Eds.) Public Sector Reform Using Information Technology: Transforming Policy into Practice, Hershey, Pa., IGI Global.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20" w:hanging="72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Fudge, Marc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(2011) </w:t>
      </w:r>
      <w:r w:rsidDel="00000000" w:rsidR="00000000" w:rsidRPr="00000000">
        <w:rPr>
          <w:rtl w:val="0"/>
        </w:rPr>
        <w:t xml:space="preserve">Is Government Riding the Wave? - To What Extent Are U.S. Municipal Governments Using Social Networks to Communicate With Citizens?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In: Manoharan, A. and Holzer, M. (Eds.)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E-Governance and Civic Engagement: Factors and Determinants of E-Democracy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Hershey, Pa., IGI Global.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20" w:hanging="72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Fudge, Marc (2011) Cost Benefit Analysis Approach to Measure Performance. [Review of the book, Investing in the Disadvantaged].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Public Administration 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