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JANINE KREMLING, Ph.D.</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Criminal Justice Department</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California State University at San Bernardino</w:t>
      </w:r>
      <w:r w:rsidDel="00000000" w:rsidR="00000000" w:rsidRPr="00000000">
        <w:rPr>
          <w:rtl w:val="0"/>
        </w:rPr>
      </w:r>
    </w:p>
    <w:p w:rsidR="00000000" w:rsidDel="00000000" w:rsidP="00000000" w:rsidRDefault="00000000" w:rsidRPr="00000000" w14:paraId="00000003">
      <w:pPr>
        <w:contextualSpacing w:val="0"/>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04">
      <w:pPr>
        <w:contextualSpacing w:val="0"/>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CONTACT INFO:</w:t>
        <w:tab/>
      </w:r>
      <w:r w:rsidDel="00000000" w:rsidR="00000000" w:rsidRPr="00000000">
        <w:rPr>
          <w:rFonts w:ascii="Arial" w:cs="Arial" w:eastAsia="Arial" w:hAnsi="Arial"/>
          <w:sz w:val="20"/>
          <w:szCs w:val="20"/>
          <w:vertAlign w:val="baseline"/>
          <w:rtl w:val="0"/>
        </w:rPr>
        <w:t xml:space="preserve">Janine Kremling, Ph.D.</w:t>
      </w:r>
    </w:p>
    <w:p w:rsidR="00000000" w:rsidDel="00000000" w:rsidP="00000000" w:rsidRDefault="00000000" w:rsidRPr="00000000" w14:paraId="00000006">
      <w:pPr>
        <w:contextualSpacing w:val="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tab/>
        <w:t xml:space="preserve">5500 University Blvd. </w:t>
      </w:r>
      <w:r w:rsidDel="00000000" w:rsidR="00000000" w:rsidRPr="00000000">
        <w:rPr>
          <w:rtl w:val="0"/>
        </w:rPr>
      </w:r>
    </w:p>
    <w:p w:rsidR="00000000" w:rsidDel="00000000" w:rsidP="00000000" w:rsidRDefault="00000000" w:rsidRPr="00000000" w14:paraId="00000007">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San Bernardino</w:t>
      </w:r>
    </w:p>
    <w:p w:rsidR="00000000" w:rsidDel="00000000" w:rsidP="00000000" w:rsidRDefault="00000000" w:rsidRPr="00000000" w14:paraId="00000008">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909-537-5566</w:t>
      </w:r>
    </w:p>
    <w:p w:rsidR="00000000" w:rsidDel="00000000" w:rsidP="00000000" w:rsidRDefault="00000000" w:rsidRPr="00000000" w14:paraId="00000009">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jkremlin@csusb.edu</w:t>
      </w:r>
    </w:p>
    <w:p w:rsidR="00000000" w:rsidDel="00000000" w:rsidP="00000000" w:rsidRDefault="00000000" w:rsidRPr="00000000" w14:paraId="0000000A">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0"/>
          <w:sz w:val="20"/>
          <w:szCs w:val="20"/>
          <w:vertAlign w:val="baseline"/>
        </w:rPr>
      </w:pPr>
      <w:r w:rsidDel="00000000" w:rsidR="00000000" w:rsidRPr="00000000">
        <w:rPr>
          <w:rFonts w:ascii="Arial" w:cs="Arial" w:eastAsia="Arial" w:hAnsi="Arial"/>
          <w:b w:val="1"/>
          <w:sz w:val="20"/>
          <w:szCs w:val="20"/>
          <w:vertAlign w:val="baseline"/>
          <w:rtl w:val="0"/>
        </w:rPr>
        <w:t xml:space="preserve">EDUCATION: </w:t>
        <w:tab/>
        <w:tab/>
      </w:r>
      <w:r w:rsidDel="00000000" w:rsidR="00000000" w:rsidRPr="00000000">
        <w:rPr>
          <w:rFonts w:ascii="Arial" w:cs="Arial" w:eastAsia="Arial" w:hAnsi="Arial"/>
          <w:i w:val="1"/>
          <w:sz w:val="20"/>
          <w:szCs w:val="20"/>
          <w:vertAlign w:val="baseline"/>
          <w:rtl w:val="0"/>
        </w:rPr>
        <w:t xml:space="preserve">Law Student at Northwestern California School of Law (2015 to </w:t>
      </w: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b w:val="0"/>
          <w:sz w:val="20"/>
          <w:szCs w:val="20"/>
          <w:vertAlign w:val="baseline"/>
        </w:rPr>
      </w:pPr>
      <w:r w:rsidDel="00000000" w:rsidR="00000000" w:rsidRPr="00000000">
        <w:rPr>
          <w:rFonts w:ascii="Arial" w:cs="Arial" w:eastAsia="Arial" w:hAnsi="Arial"/>
          <w:i w:val="1"/>
          <w:sz w:val="20"/>
          <w:szCs w:val="20"/>
          <w:vertAlign w:val="baseline"/>
          <w:rtl w:val="0"/>
        </w:rPr>
        <w:tab/>
        <w:tab/>
        <w:tab/>
        <w:t xml:space="preserve">current)</w:t>
      </w:r>
      <w:r w:rsidDel="00000000" w:rsidR="00000000" w:rsidRPr="00000000">
        <w:rPr>
          <w:rtl w:val="0"/>
        </w:rPr>
      </w:r>
    </w:p>
    <w:p w:rsidR="00000000" w:rsidDel="00000000" w:rsidP="00000000" w:rsidRDefault="00000000" w:rsidRPr="00000000" w14:paraId="0000000E">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Ph.D</w:t>
      </w:r>
      <w:r w:rsidDel="00000000" w:rsidR="00000000" w:rsidRPr="00000000">
        <w:rPr>
          <w:rFonts w:ascii="Arial" w:cs="Arial" w:eastAsia="Arial" w:hAnsi="Arial"/>
          <w:sz w:val="20"/>
          <w:szCs w:val="20"/>
          <w:vertAlign w:val="baseline"/>
          <w:rtl w:val="0"/>
        </w:rPr>
        <w:t xml:space="preserve">. in </w:t>
      </w:r>
      <w:r w:rsidDel="00000000" w:rsidR="00000000" w:rsidRPr="00000000">
        <w:rPr>
          <w:rFonts w:ascii="Arial" w:cs="Arial" w:eastAsia="Arial" w:hAnsi="Arial"/>
          <w:i w:val="1"/>
          <w:sz w:val="20"/>
          <w:szCs w:val="20"/>
          <w:vertAlign w:val="baseline"/>
          <w:rtl w:val="0"/>
        </w:rPr>
        <w:t xml:space="preserve">Criminology</w:t>
      </w:r>
      <w:r w:rsidDel="00000000" w:rsidR="00000000" w:rsidRPr="00000000">
        <w:rPr>
          <w:rFonts w:ascii="Arial" w:cs="Arial" w:eastAsia="Arial" w:hAnsi="Arial"/>
          <w:sz w:val="20"/>
          <w:szCs w:val="20"/>
          <w:vertAlign w:val="baseline"/>
          <w:rtl w:val="0"/>
        </w:rPr>
        <w:t xml:space="preserve">, University of South Florida (2010)</w:t>
      </w:r>
    </w:p>
    <w:p w:rsidR="00000000" w:rsidDel="00000000" w:rsidP="00000000" w:rsidRDefault="00000000" w:rsidRPr="00000000" w14:paraId="0000000F">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M.A. </w:t>
      </w:r>
      <w:r w:rsidDel="00000000" w:rsidR="00000000" w:rsidRPr="00000000">
        <w:rPr>
          <w:rFonts w:ascii="Arial" w:cs="Arial" w:eastAsia="Arial" w:hAnsi="Arial"/>
          <w:sz w:val="20"/>
          <w:szCs w:val="20"/>
          <w:vertAlign w:val="baseline"/>
          <w:rtl w:val="0"/>
        </w:rPr>
        <w:t xml:space="preserve">in </w:t>
      </w:r>
      <w:r w:rsidDel="00000000" w:rsidR="00000000" w:rsidRPr="00000000">
        <w:rPr>
          <w:rFonts w:ascii="Arial" w:cs="Arial" w:eastAsia="Arial" w:hAnsi="Arial"/>
          <w:i w:val="1"/>
          <w:sz w:val="20"/>
          <w:szCs w:val="20"/>
          <w:vertAlign w:val="baseline"/>
          <w:rtl w:val="0"/>
        </w:rPr>
        <w:t xml:space="preserve">Criminology</w:t>
      </w:r>
      <w:r w:rsidDel="00000000" w:rsidR="00000000" w:rsidRPr="00000000">
        <w:rPr>
          <w:rFonts w:ascii="Arial" w:cs="Arial" w:eastAsia="Arial" w:hAnsi="Arial"/>
          <w:sz w:val="20"/>
          <w:szCs w:val="20"/>
          <w:vertAlign w:val="baseline"/>
          <w:rtl w:val="0"/>
        </w:rPr>
        <w:t xml:space="preserve">, University of South Florida (2004)</w:t>
      </w:r>
    </w:p>
    <w:p w:rsidR="00000000" w:rsidDel="00000000" w:rsidP="00000000" w:rsidRDefault="00000000" w:rsidRPr="00000000" w14:paraId="00000010">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M.A. in Sociology, </w:t>
      </w:r>
      <w:r w:rsidDel="00000000" w:rsidR="00000000" w:rsidRPr="00000000">
        <w:rPr>
          <w:rFonts w:ascii="Arial" w:cs="Arial" w:eastAsia="Arial" w:hAnsi="Arial"/>
          <w:sz w:val="20"/>
          <w:szCs w:val="20"/>
          <w:vertAlign w:val="baseline"/>
          <w:rtl w:val="0"/>
        </w:rPr>
        <w:t xml:space="preserve">University of Leipzig, Germany</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(2001)</w:t>
      </w:r>
    </w:p>
    <w:p w:rsidR="00000000" w:rsidDel="00000000" w:rsidP="00000000" w:rsidRDefault="00000000" w:rsidRPr="00000000" w14:paraId="00000011">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ind w:left="2160" w:hanging="2160"/>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Dissertation: </w:t>
        <w:tab/>
      </w:r>
      <w:r w:rsidDel="00000000" w:rsidR="00000000" w:rsidRPr="00000000">
        <w:rPr>
          <w:rFonts w:ascii="Arial" w:cs="Arial" w:eastAsia="Arial" w:hAnsi="Arial"/>
          <w:sz w:val="20"/>
          <w:szCs w:val="20"/>
          <w:vertAlign w:val="baseline"/>
          <w:rtl w:val="0"/>
        </w:rPr>
        <w:t xml:space="preserve">“An Analysis of the Influence of Sampling Methods on the Estimation of Drug Use Prevalence and Drug Use Patterns Among Arrestees in the United States.” (2010)</w:t>
      </w:r>
    </w:p>
    <w:p w:rsidR="00000000" w:rsidDel="00000000" w:rsidP="00000000" w:rsidRDefault="00000000" w:rsidRPr="00000000" w14:paraId="00000013">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Major Professor: Dr. Thomas Mieczkowsi </w:t>
      </w:r>
    </w:p>
    <w:p w:rsidR="00000000" w:rsidDel="00000000" w:rsidP="00000000" w:rsidRDefault="00000000" w:rsidRPr="00000000" w14:paraId="00000015">
      <w:pPr>
        <w:ind w:left="216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Committee Members: Drs. John K. Cochran, Christopher Sullivan, Kim Lersch &amp; Sondra Fogel </w:t>
      </w:r>
    </w:p>
    <w:p w:rsidR="00000000" w:rsidDel="00000000" w:rsidP="00000000" w:rsidRDefault="00000000" w:rsidRPr="00000000" w14:paraId="0000001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Master’s Thesis: </w:t>
        <w:tab/>
      </w:r>
      <w:r w:rsidDel="00000000" w:rsidR="00000000" w:rsidRPr="00000000">
        <w:rPr>
          <w:rFonts w:ascii="Arial" w:cs="Arial" w:eastAsia="Arial" w:hAnsi="Arial"/>
          <w:sz w:val="20"/>
          <w:szCs w:val="20"/>
          <w:vertAlign w:val="baseline"/>
          <w:rtl w:val="0"/>
        </w:rPr>
        <w:t xml:space="preserve">“An Empirical Analysis of the Role of Mitigation in Capital </w:t>
      </w:r>
    </w:p>
    <w:p w:rsidR="00000000" w:rsidDel="00000000" w:rsidP="00000000" w:rsidRDefault="00000000" w:rsidRPr="00000000" w14:paraId="00000018">
      <w:pPr>
        <w:contextualSpacing w:val="0"/>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ab/>
        <w:tab/>
        <w:tab/>
        <w:t xml:space="preserve">Sentencing in North Carolina Before and After </w:t>
      </w:r>
      <w:r w:rsidDel="00000000" w:rsidR="00000000" w:rsidRPr="00000000">
        <w:rPr>
          <w:rFonts w:ascii="Arial" w:cs="Arial" w:eastAsia="Arial" w:hAnsi="Arial"/>
          <w:i w:val="1"/>
          <w:sz w:val="20"/>
          <w:szCs w:val="20"/>
          <w:vertAlign w:val="baseline"/>
          <w:rtl w:val="0"/>
        </w:rPr>
        <w:t xml:space="preserve">McKoy v. North </w:t>
      </w: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ab/>
        <w:tab/>
        <w:tab/>
        <w:t xml:space="preserve">Carolina</w:t>
      </w:r>
      <w:r w:rsidDel="00000000" w:rsidR="00000000" w:rsidRPr="00000000">
        <w:rPr>
          <w:rFonts w:ascii="Arial" w:cs="Arial" w:eastAsia="Arial" w:hAnsi="Arial"/>
          <w:sz w:val="20"/>
          <w:szCs w:val="20"/>
          <w:vertAlign w:val="baseline"/>
          <w:rtl w:val="0"/>
        </w:rPr>
        <w:t xml:space="preserve"> (1990).”</w:t>
      </w:r>
    </w:p>
    <w:p w:rsidR="00000000" w:rsidDel="00000000" w:rsidP="00000000" w:rsidRDefault="00000000" w:rsidRPr="00000000" w14:paraId="0000001A">
      <w:pPr>
        <w:ind w:left="1440" w:firstLine="72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ind w:left="1440" w:firstLine="72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Major Professor: Dr. Dwayne Smith </w:t>
      </w:r>
    </w:p>
    <w:p w:rsidR="00000000" w:rsidDel="00000000" w:rsidP="00000000" w:rsidRDefault="00000000" w:rsidRPr="00000000" w14:paraId="0000001C">
      <w:pPr>
        <w:ind w:left="2160"/>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Committee Members: Drs. John K. Cochran, Thomas Mieczkowski &amp; Kathleen M. Heide </w:t>
      </w:r>
    </w:p>
    <w:p w:rsidR="00000000" w:rsidDel="00000000" w:rsidP="00000000" w:rsidRDefault="00000000" w:rsidRPr="00000000" w14:paraId="0000001D">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Publications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Books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Parker, A. (2017).</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Cyberspace, Cybersecurity, and Cybercrime.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Sage Publishing.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Tolman, A. and Kremling, J. (2016).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Why Students Resist Learning: A Model for Constructive Response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Stylus Publishing, Virginia.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Gaines, L. and Kremling, J. (2014),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Drugs, Crime, and Justice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Waveland Press.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Sampling Methods Effects on the Estimation of Drug Use Prevalence: Implications for Research and U.S. Drug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LFB Scholarly Publishing LLC.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Journal Articles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 B., Peters, R.H., and Kremling, J. (2015). Behavioral Health Treatment Data Among Offenders: Findings from the Arrestee Drug Abuse Monitoring-II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Psychiatric Rehabilitation Journal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Peters, R. H., Kremling, J., and Hunt, B. (2014). Accuracy of Self-Reported Drug Use Among Offenders: Findings from the Arrestee Drug Abuse Monitoring-II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Criminal Justice and Behavior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Peters, R. H., Kremling, J., Bekman, N. M., and Caudy, M. (2012). Co-Occurring Disorders in Treatment-Based Courts: Results of a National Survey.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Behavioral Sciences and the Law,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30(6), 800-820.</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Janine, M. Dwayne Smith, John K. Cochran, Beth Bjerregaard, and Sondra J. Fogel (2007). The Role of Mitigating Factors in Capital Sentencing Before and After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McKoy v. North Carolina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Justice Quarterly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24(3), 357-381.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Book Chapters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Brown, E. (2016). The Impact of Institutional Culture on Student Resistance to Active Learning. In A. Tolman and J. Kremling (Ed.) Improving Student Learning by Understanding and Working with Student Resistance. Stylus Publishing.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Tolman, A., and Radmall, R. (2016). Positive Climate Change. In A. Tolman and J. Kremling (Ed.) Improving Student Learning by Understanding and Working with Student Resistance. Stylus Publishing.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Smart, S, and Rothlisberger, C. (2016). Negative Classroom Experiences, In A. Tolman and J. Kremling (Ed.) Improving Student Learning by Understanding and Working with Student Resistance. Stylus Publishing.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(2014). The Scourge of Methamphetamine. In L. Gaines and J. Kremling (Ed.) Drugs, Crime, and Justice. Waveland Press.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(2014). Prescription Medication: A Medicated Nation. In L. Gaines and J. Kremling (Ed.) Drugs, Crime, and Justice. Waveland Press.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Peters, R. (2014). Drug Courts. In L. Gaines and J. Kremling (Ed.) Drugs, Crime, and Justice. Waveland Press.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Adams, C. (2014). Minorities and Drugs. In L. Gaines and J. Kremling (Ed.) Drugs, Crime, and Justice. Waveland Press.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Peters, R. H., Ray, J. M., and Janine Kremling (2010). Criminal Populations and Substance Abuse, In N.S. Miller (Ed.)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Principles and Practices of Addictions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Law and Medicine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Elsevier Press.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Evaluations/ Monographs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Drug Court Evaluation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 Bernardino Superior Court.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34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Encyclopedia Articles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Paris, J.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“Torture”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Encyclopedia of Criminal Justice Ethics, Sage Publications, Inc.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Gallo, K.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New Jim Crow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Encyclopedia of Criminal Justice Ethics, Sage Publications, Inc.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Gallo, K., Tanner, T. and Paris, J.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Prison Corruption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Encyclopedia of Criminal Justice Ethics, Sage Publications, Inc.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Atkins v. Virginia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Hobbes (Social Contract Theory)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Brutalization Hypothesis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Due Process Rights of Prisoners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Encyclopedia of Criminal Justice Ethics, Sage Publications, Inc.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Crime Control Model of Corrections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Indeterminate Sentencing (Sentencing Strategies)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Involuntary Commitment of Sexual Predators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Offender Needs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Prison Overcrowding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Encyclopedia of Community Corrections, Sage Publications, Inc.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Zeisor, M. and Kremling, J.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Middle East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Encyclopedia of Transnational Crime and Justice, Sage Publishing, Inc.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Peters, R.H., &amp; Kremling, J. (2008).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Prisons and Jails; Drug Treatment in Prisons and Jails; and Drug use and HIV/AIDS in Prisons and Jails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P. Korsmeyer &amp; H. Kranzler (Eds.), Encyclopedia of Drugs, Alcohol and Addictive Behavior, Third Edition (pps. 289-297).  New York: MacMillan Press.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Presentations at professional conferences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Christian Jordan Howell, John Cochran, Caitlyn Meade, Janine Kremling, M. Dwayne Smith, Beth Bjerregaard, Sondra Fogel (2017). The Effect of Contextual Factors in Capital Sentencing Outcomes.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Meeting of the American Society of Criminology in Philadelphia, PA, from November 15-18.</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(2015).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Connection Between Age of Onset of Alcohol  and Drug Use, Substance Dependence, Arrest History, Offense Type, and Severity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Annual Meeting of the American Society of Criminology in Washington, D.C. from November 18-21.</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Smith, D. M., Kremling, J. Folgel, S. J., and Bjerregaard, B. (2014). An Analysis of Long-Term Judicial Outcomes of Defendants Convicted in Capital Punishment Trials. Presented at the annual meeting of the American Society of Criminology in San Francisco, CA.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Peters, R., and Hunt, B. (2013). Accuracy of Self-Reported Drug Use among Offenders.  Presented at the annual meeting of the American Society of Criminology in Atlanta, GA.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Reckdenwald, A. (2012), “An Application of the Marshall Hypothesis to California’s Three Strikes Law.” Presented at the annual meeting of the American Society of Criminology in Chicago, IL.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Leh, A. and Kremling, J. (2012). “The Use of Blog and Discussion Board in Online Classes.” In London, Great Britain.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Leh, A., Kremling, J., Nakayama, M., and Newberry, B. (2012).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Effects of the Use of the Blog and Discussion Board on Online Teaching and Learning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5-9, Society for Information Technology and Teacher Education, Austin, TX.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A. Reckdenwald (2012). Evaluating Juror Comprehension of the newly implemented California capital sentencing instructions. Presented at Western Criminology Conference, February 16-18, Newport Beach, California.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Tolman, A., and Radmall, R. (2012).  Using the Transtheoretical Model of Change to Reduce Student Resistance to Active Learning. Presented at Western Criminology Conference, February 16-18, Newport Beach, California.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Reckdenwald, A. (2011). Attitudes and Jury Comprehension of Capital Jury Instructions. American Society of Criminology Conference, November 16-19, Washington, D.C.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Tolman, A. (2012). Addressing Student Ineffective Learning Behaviors: The Utility of Metacognitive Instruments. Presented at Lilly West, Pomona, California. See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Tolman, A. (2011). Using Metacognitive Instruments to Increase Readiness to Change Learning Behaviors. Presented at Lilly West, Pomona, California.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 and A. Reckdenwald (2010). Improving Juror Comprehension in Capital Case Sentencing Instructions. Presented at the annual meeting of the American Society of Criminology in San Francisko, California.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Janine Kremling (2010), “How to Write a Research Paper.” Presented at the 13th CSU Symposium on University Teaching at California State University at San Bernardino, CA.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Janine Kremling (2009),”An Analysis of the Influence of Sampling on the Estimation of Drug Use Prevalence and Patterns Among Arrestees in the United states. Implications for Policy and Research. Presented at the annual meeting of the American Society of Criminology in Philadelphia, PA.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Janine Kremling (2007), “Minority Threat and Death Sentencing in North Carolina.” Presented at the annual meeting of the American Society of Criminology in Atlanta, Georgia.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Amy Reckdenwald and Janine Kremling (2006), “Disaggregating the Effects of the Victim-Offender Relationship by the Offender’s Race in NC Death Sentencing Outcomes.” Presented at the annual meeting of the American Society of Criminology in Los Angeles, California.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Kremling Janine (2005). “The Influence of Victim Characteristics on the Outcome of Capital Cases.” Paper presented at the annual meeting of the American Society of Criminology in Toronto, Canada.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Janine Kremling (2004). “The Role of Mitigation in Capital Sentencing in North Carolina Before and After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McKoy v. North Carolina.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(1990).” Paper presented at the annual meeting of the American Society of Criminology in Nashville, Tennessee.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Verrill, Stephen, Amy Reckdenwald, and Janine Kremling (2003). The Influence of Victim Attributes on Capital Murder Sentencing Decisions in North Carolina. Paper presented at the annual meeting of the American Society of Criminology in Denver, Colorado.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Grants received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CSU Chancellor Office: Proven Course Redesign Grant for CJUS 312 “Introduction to Statistics.” Rewarded in March 2017: $7,932.</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Connected Learning with Engaging Technologies. September 2016. Sponsored by ATI and TRC. Grant received in July 2016. $1,500.</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Academic Technologies and Innovation, California State University at San Bernardino. Development of a Quality Assurance Tool for Distributed Learning. Rewarded on May 1, 2015: $8,000.</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Superior Court of California, County of San Bernardino: IFB No.13-03, Drug Court Evaluator. Rewarded on November 30, 2012: $10,000.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Criminal Justice B.A. Online Degree Completion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Presidents Future Funds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CSUSB: $75,000. Rewarded on November 19, 2012.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Innovative Course Development Grant (Summer 2013). A Writing Intensive Class in Correctional Theory and Institutions, $3,000.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Skills Study Award 2013, $1,000: “FETC National Conference,” Orlando, Fl. January 28-31, 2013.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 Grant 2012: “Application of the Marshall Hypothesis to California’s Three Strikes Law.” $4,000, Submitted on January 22, 2012.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Research Fellowship 2012: “Drugs, Crime, and Justice.” Submitted on February 22, 2012. $3,000.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Resource Center Think Tank on Writing Intensive Courses. $6,000, Submitted on February 12, 2012.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Evans Research Travel Grant. Submitted on March 8, 2012. $1,000.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Winter 2011 Teaching Skills Study Award for Lilly West Conference in March 2012 in Pomona, CA, $1,000.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SoTL (Scholarship of Teaching and Learning) (2012). $1,000, “Using TopHatMonocle to Reduce Statistics Anxiety.”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Innovative Course Development Grant (Summer 2011). $3,000, Problem-Based Learning in Correctional Theory and Institutions.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 Grant (Summer 2010). $4,000, “Jury Instruction in Capital Cases in California”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Skills Study Award for Lilly West Conference 2010 (Winter 2010). $1,000,Teaching Resource Center.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SoTL (Scholarship of Teaching and Learning) (2010). $1,000, “Use of Metacognitive Instruments to Reduce Student Resistance to Active Learning,” Teaching Resource Center.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Classes Taught and Scheduled to Teach</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Criminal Justice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Correctional Theory and Institutions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Courts and the Law</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Transnational Crime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Criminal Law and Procedure</w:t>
      </w:r>
    </w:p>
    <w:p w:rsidR="00000000" w:rsidDel="00000000" w:rsidP="00000000" w:rsidRDefault="00000000" w:rsidRPr="00000000" w14:paraId="000000AD">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E">
      <w:pPr>
        <w:tabs>
          <w:tab w:val="left" w:pos="1920"/>
        </w:tabs>
        <w:contextualSpacing w:val="0"/>
        <w:rPr>
          <w:vertAlign w:val="baseline"/>
        </w:rPr>
      </w:pPr>
      <w:r w:rsidDel="00000000" w:rsidR="00000000" w:rsidRPr="00000000">
        <w:rPr>
          <w:rtl w:val="0"/>
        </w:rPr>
      </w:r>
    </w:p>
    <w:sectPr>
      <w:headerReference r:id="rId6" w:type="default"/>
      <w:headerReference r:id="rId7" w:type="even"/>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