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6F9" w:rsidRDefault="002374D1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JANINE KREMLING, Ph.D.</w:t>
      </w:r>
    </w:p>
    <w:p w:rsidR="008046F9" w:rsidRDefault="002374D1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Criminal Justice Department</w:t>
      </w:r>
    </w:p>
    <w:p w:rsidR="008046F9" w:rsidRDefault="002374D1">
      <w:pPr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California State University at San Bernardino</w:t>
      </w:r>
    </w:p>
    <w:p w:rsidR="008046F9" w:rsidRDefault="008046F9">
      <w:pPr>
        <w:rPr>
          <w:rFonts w:ascii="Garamond" w:eastAsia="Garamond" w:hAnsi="Garamond" w:cs="Garamond"/>
        </w:rPr>
      </w:pPr>
    </w:p>
    <w:p w:rsidR="008046F9" w:rsidRDefault="008046F9">
      <w:pPr>
        <w:rPr>
          <w:rFonts w:ascii="Garamond" w:eastAsia="Garamond" w:hAnsi="Garamond" w:cs="Garamond"/>
        </w:rPr>
      </w:pPr>
    </w:p>
    <w:p w:rsidR="008046F9" w:rsidRDefault="002374D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CONTACT INFO: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Janine </w:t>
      </w:r>
      <w:proofErr w:type="spellStart"/>
      <w:r>
        <w:rPr>
          <w:rFonts w:ascii="Arial" w:eastAsia="Arial" w:hAnsi="Arial" w:cs="Arial"/>
          <w:sz w:val="20"/>
          <w:szCs w:val="20"/>
        </w:rPr>
        <w:t>Kremling</w:t>
      </w:r>
      <w:proofErr w:type="spellEnd"/>
      <w:r>
        <w:rPr>
          <w:rFonts w:ascii="Arial" w:eastAsia="Arial" w:hAnsi="Arial" w:cs="Arial"/>
          <w:sz w:val="20"/>
          <w:szCs w:val="20"/>
        </w:rPr>
        <w:t>, Ph.D.</w:t>
      </w:r>
    </w:p>
    <w:p w:rsidR="008046F9" w:rsidRDefault="002374D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5500 University Blvd. </w:t>
      </w:r>
    </w:p>
    <w:p w:rsidR="008046F9" w:rsidRDefault="002374D1">
      <w:pPr>
        <w:ind w:left="144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San Bernardino</w:t>
      </w:r>
    </w:p>
    <w:p w:rsidR="008046F9" w:rsidRDefault="002374D1">
      <w:pPr>
        <w:ind w:left="144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Telephone: 909-537-5566</w:t>
      </w:r>
    </w:p>
    <w:p w:rsidR="008046F9" w:rsidRDefault="002374D1">
      <w:pPr>
        <w:ind w:left="144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Email: jkremlin@csusb.edu</w:t>
      </w:r>
    </w:p>
    <w:p w:rsidR="008046F9" w:rsidRDefault="008046F9">
      <w:pPr>
        <w:rPr>
          <w:rFonts w:ascii="Arial" w:eastAsia="Arial" w:hAnsi="Arial" w:cs="Arial"/>
          <w:sz w:val="20"/>
          <w:szCs w:val="20"/>
        </w:rPr>
      </w:pPr>
    </w:p>
    <w:p w:rsidR="008046F9" w:rsidRDefault="008046F9">
      <w:pPr>
        <w:rPr>
          <w:rFonts w:ascii="Arial" w:eastAsia="Arial" w:hAnsi="Arial" w:cs="Arial"/>
          <w:sz w:val="20"/>
          <w:szCs w:val="20"/>
        </w:rPr>
      </w:pPr>
    </w:p>
    <w:p w:rsidR="008046F9" w:rsidRDefault="002374D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EDUCATION: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 xml:space="preserve">Law Student at Northwestern California School of Law (2015 to </w:t>
      </w:r>
    </w:p>
    <w:p w:rsidR="008046F9" w:rsidRDefault="002374D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  <w:t>current)</w:t>
      </w:r>
    </w:p>
    <w:p w:rsidR="008046F9" w:rsidRDefault="002374D1">
      <w:pPr>
        <w:ind w:left="144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Ph.D</w:t>
      </w:r>
      <w:r>
        <w:rPr>
          <w:rFonts w:ascii="Arial" w:eastAsia="Arial" w:hAnsi="Arial" w:cs="Arial"/>
          <w:sz w:val="20"/>
          <w:szCs w:val="20"/>
        </w:rPr>
        <w:t xml:space="preserve">. in </w:t>
      </w:r>
      <w:r>
        <w:rPr>
          <w:rFonts w:ascii="Arial" w:eastAsia="Arial" w:hAnsi="Arial" w:cs="Arial"/>
          <w:i/>
          <w:sz w:val="20"/>
          <w:szCs w:val="20"/>
        </w:rPr>
        <w:t>Criminology</w:t>
      </w:r>
      <w:r>
        <w:rPr>
          <w:rFonts w:ascii="Arial" w:eastAsia="Arial" w:hAnsi="Arial" w:cs="Arial"/>
          <w:sz w:val="20"/>
          <w:szCs w:val="20"/>
        </w:rPr>
        <w:t>, University of South Florida (2010)</w:t>
      </w:r>
    </w:p>
    <w:p w:rsidR="008046F9" w:rsidRDefault="002374D1">
      <w:pPr>
        <w:ind w:left="144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M.A. </w:t>
      </w:r>
      <w:r>
        <w:rPr>
          <w:rFonts w:ascii="Arial" w:eastAsia="Arial" w:hAnsi="Arial" w:cs="Arial"/>
          <w:sz w:val="20"/>
          <w:szCs w:val="20"/>
        </w:rPr>
        <w:t xml:space="preserve">in </w:t>
      </w:r>
      <w:r>
        <w:rPr>
          <w:rFonts w:ascii="Arial" w:eastAsia="Arial" w:hAnsi="Arial" w:cs="Arial"/>
          <w:i/>
          <w:sz w:val="20"/>
          <w:szCs w:val="20"/>
        </w:rPr>
        <w:t>Criminology</w:t>
      </w:r>
      <w:r>
        <w:rPr>
          <w:rFonts w:ascii="Arial" w:eastAsia="Arial" w:hAnsi="Arial" w:cs="Arial"/>
          <w:sz w:val="20"/>
          <w:szCs w:val="20"/>
        </w:rPr>
        <w:t>, University of South Florida (2004)</w:t>
      </w:r>
    </w:p>
    <w:p w:rsidR="008046F9" w:rsidRDefault="002374D1">
      <w:pPr>
        <w:ind w:left="144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M.A. in Sociology, </w:t>
      </w:r>
      <w:r>
        <w:rPr>
          <w:rFonts w:ascii="Arial" w:eastAsia="Arial" w:hAnsi="Arial" w:cs="Arial"/>
          <w:sz w:val="20"/>
          <w:szCs w:val="20"/>
        </w:rPr>
        <w:t>University of Leipzig, Germany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(2001)</w:t>
      </w:r>
    </w:p>
    <w:p w:rsidR="008046F9" w:rsidRDefault="008046F9">
      <w:pPr>
        <w:rPr>
          <w:rFonts w:ascii="Arial" w:eastAsia="Arial" w:hAnsi="Arial" w:cs="Arial"/>
          <w:sz w:val="20"/>
          <w:szCs w:val="20"/>
        </w:rPr>
      </w:pPr>
    </w:p>
    <w:p w:rsidR="008046F9" w:rsidRDefault="002374D1">
      <w:pPr>
        <w:ind w:left="2160" w:hanging="2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Dissertati</w:t>
      </w:r>
      <w:r>
        <w:rPr>
          <w:rFonts w:ascii="Arial" w:eastAsia="Arial" w:hAnsi="Arial" w:cs="Arial"/>
          <w:b/>
          <w:sz w:val="20"/>
          <w:szCs w:val="20"/>
        </w:rPr>
        <w:t xml:space="preserve">on: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“An Analysis of the Influence of Sampling Methods on the Estimation of Drug Use Prevalence and Drug Use Patterns Among Arrestees in the United States.” (2010)</w:t>
      </w:r>
    </w:p>
    <w:p w:rsidR="008046F9" w:rsidRDefault="008046F9">
      <w:pPr>
        <w:rPr>
          <w:rFonts w:ascii="Arial" w:eastAsia="Arial" w:hAnsi="Arial" w:cs="Arial"/>
          <w:sz w:val="20"/>
          <w:szCs w:val="20"/>
        </w:rPr>
      </w:pPr>
    </w:p>
    <w:p w:rsidR="008046F9" w:rsidRDefault="002374D1">
      <w:pPr>
        <w:ind w:left="144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Major Professor: Dr. Thomas </w:t>
      </w:r>
      <w:proofErr w:type="spellStart"/>
      <w:r>
        <w:rPr>
          <w:rFonts w:ascii="Arial" w:eastAsia="Arial" w:hAnsi="Arial" w:cs="Arial"/>
          <w:sz w:val="20"/>
          <w:szCs w:val="20"/>
        </w:rPr>
        <w:t>Mieczkowsi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</w:p>
    <w:p w:rsidR="008046F9" w:rsidRDefault="002374D1">
      <w:pPr>
        <w:ind w:left="2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Committee Members: Drs. John K. Cochran, Christophe</w:t>
      </w:r>
      <w:r>
        <w:rPr>
          <w:rFonts w:ascii="Arial" w:eastAsia="Arial" w:hAnsi="Arial" w:cs="Arial"/>
          <w:sz w:val="20"/>
          <w:szCs w:val="20"/>
        </w:rPr>
        <w:t xml:space="preserve">r Sullivan, Kim </w:t>
      </w:r>
      <w:proofErr w:type="spellStart"/>
      <w:r>
        <w:rPr>
          <w:rFonts w:ascii="Arial" w:eastAsia="Arial" w:hAnsi="Arial" w:cs="Arial"/>
          <w:sz w:val="20"/>
          <w:szCs w:val="20"/>
        </w:rPr>
        <w:t>Lersch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&amp; Sondra Fogel </w:t>
      </w:r>
    </w:p>
    <w:p w:rsidR="008046F9" w:rsidRDefault="008046F9">
      <w:pPr>
        <w:rPr>
          <w:rFonts w:ascii="Arial" w:eastAsia="Arial" w:hAnsi="Arial" w:cs="Arial"/>
          <w:sz w:val="20"/>
          <w:szCs w:val="20"/>
        </w:rPr>
      </w:pPr>
    </w:p>
    <w:p w:rsidR="008046F9" w:rsidRDefault="002374D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Master’s Thesis: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“An Empirical Analysis of the Role of Mitigation in Capital </w:t>
      </w:r>
    </w:p>
    <w:p w:rsidR="008046F9" w:rsidRDefault="002374D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Sentencing in North Carolina Before and After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McKoy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v. North </w:t>
      </w:r>
    </w:p>
    <w:p w:rsidR="008046F9" w:rsidRDefault="002374D1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</w:r>
      <w:r>
        <w:rPr>
          <w:rFonts w:ascii="Arial" w:eastAsia="Arial" w:hAnsi="Arial" w:cs="Arial"/>
          <w:i/>
          <w:sz w:val="20"/>
          <w:szCs w:val="20"/>
        </w:rPr>
        <w:tab/>
        <w:t>Carolina</w:t>
      </w:r>
      <w:r>
        <w:rPr>
          <w:rFonts w:ascii="Arial" w:eastAsia="Arial" w:hAnsi="Arial" w:cs="Arial"/>
          <w:sz w:val="20"/>
          <w:szCs w:val="20"/>
        </w:rPr>
        <w:t xml:space="preserve"> (1990).”</w:t>
      </w:r>
    </w:p>
    <w:p w:rsidR="008046F9" w:rsidRDefault="008046F9">
      <w:pPr>
        <w:ind w:left="1440" w:firstLine="720"/>
        <w:rPr>
          <w:rFonts w:ascii="Arial" w:eastAsia="Arial" w:hAnsi="Arial" w:cs="Arial"/>
          <w:sz w:val="20"/>
          <w:szCs w:val="20"/>
        </w:rPr>
      </w:pPr>
    </w:p>
    <w:p w:rsidR="008046F9" w:rsidRDefault="002374D1">
      <w:pPr>
        <w:ind w:left="144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Major Professor: Dr. Dwayne Smith </w:t>
      </w:r>
    </w:p>
    <w:p w:rsidR="008046F9" w:rsidRDefault="002374D1">
      <w:pPr>
        <w:ind w:left="21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Committee Members: Drs. John K. Cochran, Thomas </w:t>
      </w:r>
      <w:proofErr w:type="spellStart"/>
      <w:r>
        <w:rPr>
          <w:rFonts w:ascii="Arial" w:eastAsia="Arial" w:hAnsi="Arial" w:cs="Arial"/>
          <w:sz w:val="20"/>
          <w:szCs w:val="20"/>
        </w:rPr>
        <w:t>Mieczkowski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&amp; Kathleen M. Heide </w:t>
      </w:r>
    </w:p>
    <w:p w:rsidR="008046F9" w:rsidRDefault="008046F9">
      <w:pPr>
        <w:rPr>
          <w:rFonts w:ascii="Arial" w:eastAsia="Arial" w:hAnsi="Arial" w:cs="Arial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Publications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Books</w:t>
      </w:r>
    </w:p>
    <w:p w:rsidR="00D51121" w:rsidRDefault="00D511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Parson, D. and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Kremling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J. (2020). </w:t>
      </w:r>
      <w:r w:rsidRPr="00E24994">
        <w:rPr>
          <w:rFonts w:ascii="Arial" w:eastAsia="Arial" w:hAnsi="Arial" w:cs="Arial"/>
          <w:i/>
          <w:color w:val="000000"/>
          <w:sz w:val="20"/>
          <w:szCs w:val="20"/>
        </w:rPr>
        <w:t>Community Policing</w:t>
      </w:r>
      <w:r w:rsidR="00E24994" w:rsidRPr="00E24994">
        <w:rPr>
          <w:rFonts w:ascii="Arial" w:eastAsia="Arial" w:hAnsi="Arial" w:cs="Arial"/>
          <w:i/>
          <w:color w:val="000000"/>
          <w:sz w:val="20"/>
          <w:szCs w:val="20"/>
        </w:rPr>
        <w:t xml:space="preserve"> Today: Issues, Controversies, and Innovations</w:t>
      </w:r>
      <w:r w:rsidR="00E24994">
        <w:rPr>
          <w:rFonts w:ascii="Arial" w:eastAsia="Arial" w:hAnsi="Arial" w:cs="Arial"/>
          <w:color w:val="000000"/>
          <w:sz w:val="20"/>
          <w:szCs w:val="20"/>
        </w:rPr>
        <w:t xml:space="preserve">. Sage Publishing. </w:t>
      </w:r>
    </w:p>
    <w:p w:rsidR="00D51121" w:rsidRDefault="00D5112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Kremling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J. and Parker, A. (2017).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Cyberspace, Cybersecurity, and Cybercrime.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Sage Publishing. 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Tolman, A. and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Kremling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J. (2016). </w:t>
      </w:r>
      <w:r>
        <w:rPr>
          <w:rFonts w:ascii="Arial" w:eastAsia="Arial" w:hAnsi="Arial" w:cs="Arial"/>
          <w:i/>
          <w:color w:val="000000"/>
          <w:sz w:val="20"/>
          <w:szCs w:val="20"/>
        </w:rPr>
        <w:t>Why Students Resist Learning: A Model for Constructive Response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Stylus Publishing, Virginia. 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Gaines, L. and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Kremling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J. (2014), </w:t>
      </w:r>
      <w:r>
        <w:rPr>
          <w:rFonts w:ascii="Arial" w:eastAsia="Arial" w:hAnsi="Arial" w:cs="Arial"/>
          <w:i/>
          <w:color w:val="000000"/>
          <w:sz w:val="20"/>
          <w:szCs w:val="20"/>
        </w:rPr>
        <w:t>Drugs, Crime, and Justice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Waveland Press. 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Kremling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J. (2013). </w:t>
      </w:r>
      <w:r>
        <w:rPr>
          <w:rFonts w:ascii="Arial" w:eastAsia="Arial" w:hAnsi="Arial" w:cs="Arial"/>
          <w:i/>
          <w:color w:val="000000"/>
          <w:sz w:val="20"/>
          <w:szCs w:val="20"/>
        </w:rPr>
        <w:t>Sampling Methods Effects on the Estimation of Drug Use Pre</w:t>
      </w:r>
      <w:r>
        <w:rPr>
          <w:rFonts w:ascii="Arial" w:eastAsia="Arial" w:hAnsi="Arial" w:cs="Arial"/>
          <w:i/>
          <w:color w:val="000000"/>
          <w:sz w:val="20"/>
          <w:szCs w:val="20"/>
        </w:rPr>
        <w:t>valence: Implications for Research and U.S. Drug Policy.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LFB Scholarly Publishing LLC. 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Journal Articles </w:t>
      </w: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Hunt, B., Peters, R.H., and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Kremling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J. (2015). Behavioral Health Treatment Data Among Offenders: Findings from the Arrestee Drug Abuse Monitoring-II Program. </w:t>
      </w:r>
      <w:r>
        <w:rPr>
          <w:rFonts w:ascii="Arial" w:eastAsia="Arial" w:hAnsi="Arial" w:cs="Arial"/>
          <w:i/>
          <w:color w:val="000000"/>
          <w:sz w:val="20"/>
          <w:szCs w:val="20"/>
        </w:rPr>
        <w:t>Psychiatric Rehabilitation Journal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Peters, R. H.,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Kremling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J., and Hunt, B. (2014). Accuracy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of Self-Reported Drug Use Among Offenders: Findings from the Arrestee Drug Abuse Monitoring-II Program. </w:t>
      </w:r>
      <w:r>
        <w:rPr>
          <w:rFonts w:ascii="Arial" w:eastAsia="Arial" w:hAnsi="Arial" w:cs="Arial"/>
          <w:i/>
          <w:color w:val="000000"/>
          <w:sz w:val="20"/>
          <w:szCs w:val="20"/>
        </w:rPr>
        <w:t>Criminal Justice and Behavior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tabs>
          <w:tab w:val="left" w:pos="1800"/>
        </w:tabs>
        <w:ind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Peters, R. H.,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Kremling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J.,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Bekman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N. M., and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Caudy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M. (2012). Co-Occurring Disorders in Treatment-Based Courts: Results of a National Survey. 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Behavioral Sciences and the Law, </w:t>
      </w:r>
      <w:r>
        <w:rPr>
          <w:rFonts w:ascii="Arial" w:eastAsia="Arial" w:hAnsi="Arial" w:cs="Arial"/>
          <w:color w:val="000000"/>
          <w:sz w:val="20"/>
          <w:szCs w:val="20"/>
        </w:rPr>
        <w:t>30(6), 800-820.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Kremling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Janine, M. Dwayne Smith, John K. Cochran, Beth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Bj</w:t>
      </w:r>
      <w:r>
        <w:rPr>
          <w:rFonts w:ascii="Arial" w:eastAsia="Arial" w:hAnsi="Arial" w:cs="Arial"/>
          <w:color w:val="000000"/>
          <w:sz w:val="20"/>
          <w:szCs w:val="20"/>
        </w:rPr>
        <w:t>erregaard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and Sondra J. Fogel (2007). The Role of Mitigating Factors in Capital Sentencing Before and After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McKoy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v. North Carolina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>
        <w:rPr>
          <w:rFonts w:ascii="Arial" w:eastAsia="Arial" w:hAnsi="Arial" w:cs="Arial"/>
          <w:i/>
          <w:color w:val="000000"/>
          <w:sz w:val="20"/>
          <w:szCs w:val="20"/>
        </w:rPr>
        <w:t>Justice Quarterly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24(3), 357-381. 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Book Chapters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Kremling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J. and Brown, E. (2016). The Impact of Institutional Culture on Student Resistance to Active Learning. In A. Tolman and J.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Kremling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(Ed.) Improving Student Learning by Understanding and Working with Student Resistance. Stylus Publishing.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Kremlin</w:t>
      </w:r>
      <w:r>
        <w:rPr>
          <w:rFonts w:ascii="Arial" w:eastAsia="Arial" w:hAnsi="Arial" w:cs="Arial"/>
          <w:color w:val="000000"/>
          <w:sz w:val="20"/>
          <w:szCs w:val="20"/>
        </w:rPr>
        <w:t>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J., Tolman, A., and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Radmall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R. (2016). Positive Climate Change. In A. Tolman and J.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Kremling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(Ed.) Improving Student Learning by Understanding and Working with Student Resistance. Stylus Publishing.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Kremling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J., Smart, S, and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Rothlisberger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C. (2016)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Negative Classroom Experiences, In A. Tolman and J.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Kremling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(Ed.) Improving Student Learning by Understanding and Working with Student Resistance. Stylus Publishing.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Kremling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J. (2014). The Scourge of Methamphetamine. In L. Gaines and J.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Kremling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(Ed.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) Drugs, Crime, and Justice. Waveland Press. 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Kremling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J. (2014). Prescription Medication: A Medicated Nation. In L. Gaines and J.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Kremling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(Ed.) Drugs, Crime, and Justice. Waveland Press. 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Kremling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J. and Peters, R. (2014). Drug Courts. In L. Gaines 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nd J.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Kremling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(Ed.) Drugs, Crime, and Justice. Waveland Press. 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Kremling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J. and Adams, C. (2014). Minorities and Drugs. In L. Gaines and J.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Kremling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(Ed.) Drugs, Crime, and Justice. Waveland Press. 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ind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Peters, R. H., Ray, J. M., and Janine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Kremling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 (2010). Criminal Populations and Substance Abuse, In N.S. Miller (Ed.) </w:t>
      </w:r>
      <w:r>
        <w:rPr>
          <w:rFonts w:ascii="Arial" w:eastAsia="Arial" w:hAnsi="Arial" w:cs="Arial"/>
          <w:i/>
          <w:color w:val="000000"/>
          <w:sz w:val="20"/>
          <w:szCs w:val="20"/>
        </w:rPr>
        <w:t>Principles and Practices of Addictions in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Law and Medicine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Elsevier Press. 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40"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Evaluations/ Monographs</w:t>
      </w: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Kremling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J. (2013). </w:t>
      </w:r>
      <w:r>
        <w:rPr>
          <w:rFonts w:ascii="Arial" w:eastAsia="Arial" w:hAnsi="Arial" w:cs="Arial"/>
          <w:i/>
          <w:color w:val="000000"/>
          <w:sz w:val="20"/>
          <w:szCs w:val="20"/>
        </w:rPr>
        <w:t>Drug Court Eval</w:t>
      </w:r>
      <w:r>
        <w:rPr>
          <w:rFonts w:ascii="Arial" w:eastAsia="Arial" w:hAnsi="Arial" w:cs="Arial"/>
          <w:i/>
          <w:color w:val="000000"/>
          <w:sz w:val="20"/>
          <w:szCs w:val="20"/>
        </w:rPr>
        <w:t>uation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San Bernardino Superior Court. 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340"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Encyclopedia Articles</w:t>
      </w: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Kremling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J. and Paris, J. (2013). </w:t>
      </w:r>
      <w:r>
        <w:rPr>
          <w:rFonts w:ascii="Arial" w:eastAsia="Arial" w:hAnsi="Arial" w:cs="Arial"/>
          <w:i/>
          <w:color w:val="000000"/>
          <w:sz w:val="20"/>
          <w:szCs w:val="20"/>
        </w:rPr>
        <w:t>“Torture”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In Encyclopedia of Criminal Justice Ethics, Sage Publications, Inc. 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Kremling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J. and Gallo, K. (2013). “</w:t>
      </w:r>
      <w:r>
        <w:rPr>
          <w:rFonts w:ascii="Arial" w:eastAsia="Arial" w:hAnsi="Arial" w:cs="Arial"/>
          <w:i/>
          <w:color w:val="000000"/>
          <w:sz w:val="20"/>
          <w:szCs w:val="20"/>
        </w:rPr>
        <w:t>The New Jim Crow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” In Encyclopedia of Criminal Justice Ethics, Sage Publications, Inc. 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Kremling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J., Gallo, K., Tanner, T. and Paris, J. (2013). “</w:t>
      </w:r>
      <w:r>
        <w:rPr>
          <w:rFonts w:ascii="Arial" w:eastAsia="Arial" w:hAnsi="Arial" w:cs="Arial"/>
          <w:i/>
          <w:color w:val="000000"/>
          <w:sz w:val="20"/>
          <w:szCs w:val="20"/>
        </w:rPr>
        <w:t>Prison Corruption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” In Encyclopedia of Criminal Justice Ethics, Sage Publications, Inc. 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lastRenderedPageBreak/>
        <w:t>Kremling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J. (2012). “</w:t>
      </w:r>
      <w:r>
        <w:rPr>
          <w:rFonts w:ascii="Arial" w:eastAsia="Arial" w:hAnsi="Arial" w:cs="Arial"/>
          <w:i/>
          <w:color w:val="000000"/>
          <w:sz w:val="20"/>
          <w:szCs w:val="20"/>
        </w:rPr>
        <w:t>Atkins v. Virg</w:t>
      </w:r>
      <w:r>
        <w:rPr>
          <w:rFonts w:ascii="Arial" w:eastAsia="Arial" w:hAnsi="Arial" w:cs="Arial"/>
          <w:i/>
          <w:color w:val="000000"/>
          <w:sz w:val="20"/>
          <w:szCs w:val="20"/>
        </w:rPr>
        <w:t>inia</w:t>
      </w:r>
      <w:r>
        <w:rPr>
          <w:rFonts w:ascii="Arial" w:eastAsia="Arial" w:hAnsi="Arial" w:cs="Arial"/>
          <w:color w:val="000000"/>
          <w:sz w:val="20"/>
          <w:szCs w:val="20"/>
        </w:rPr>
        <w:t>,” “</w:t>
      </w:r>
      <w:r>
        <w:rPr>
          <w:rFonts w:ascii="Arial" w:eastAsia="Arial" w:hAnsi="Arial" w:cs="Arial"/>
          <w:i/>
          <w:color w:val="000000"/>
          <w:sz w:val="20"/>
          <w:szCs w:val="20"/>
        </w:rPr>
        <w:t>Hobbes (Social Contract Theory)</w:t>
      </w:r>
      <w:r>
        <w:rPr>
          <w:rFonts w:ascii="Arial" w:eastAsia="Arial" w:hAnsi="Arial" w:cs="Arial"/>
          <w:color w:val="000000"/>
          <w:sz w:val="20"/>
          <w:szCs w:val="20"/>
        </w:rPr>
        <w:t>,” “</w:t>
      </w:r>
      <w:r>
        <w:rPr>
          <w:rFonts w:ascii="Arial" w:eastAsia="Arial" w:hAnsi="Arial" w:cs="Arial"/>
          <w:i/>
          <w:color w:val="000000"/>
          <w:sz w:val="20"/>
          <w:szCs w:val="20"/>
        </w:rPr>
        <w:t>Brutalization Hypothesis</w:t>
      </w:r>
      <w:r>
        <w:rPr>
          <w:rFonts w:ascii="Arial" w:eastAsia="Arial" w:hAnsi="Arial" w:cs="Arial"/>
          <w:color w:val="000000"/>
          <w:sz w:val="20"/>
          <w:szCs w:val="20"/>
        </w:rPr>
        <w:t>,” and “</w:t>
      </w:r>
      <w:r>
        <w:rPr>
          <w:rFonts w:ascii="Arial" w:eastAsia="Arial" w:hAnsi="Arial" w:cs="Arial"/>
          <w:i/>
          <w:color w:val="000000"/>
          <w:sz w:val="20"/>
          <w:szCs w:val="20"/>
        </w:rPr>
        <w:t>Due Process Rights of Prisoners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,” In Encyclopedia of Criminal Justice Ethics, Sage Publications, Inc. 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Kremling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J. (2012). “</w:t>
      </w:r>
      <w:r>
        <w:rPr>
          <w:rFonts w:ascii="Arial" w:eastAsia="Arial" w:hAnsi="Arial" w:cs="Arial"/>
          <w:i/>
          <w:color w:val="000000"/>
          <w:sz w:val="20"/>
          <w:szCs w:val="20"/>
        </w:rPr>
        <w:t>Crime Control Model of Corrections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,” </w:t>
      </w:r>
      <w:r>
        <w:rPr>
          <w:rFonts w:ascii="Arial" w:eastAsia="Arial" w:hAnsi="Arial" w:cs="Arial"/>
          <w:i/>
          <w:color w:val="000000"/>
          <w:sz w:val="20"/>
          <w:szCs w:val="20"/>
        </w:rPr>
        <w:t>Indeterminate Sent</w:t>
      </w:r>
      <w:r>
        <w:rPr>
          <w:rFonts w:ascii="Arial" w:eastAsia="Arial" w:hAnsi="Arial" w:cs="Arial"/>
          <w:i/>
          <w:color w:val="000000"/>
          <w:sz w:val="20"/>
          <w:szCs w:val="20"/>
        </w:rPr>
        <w:t>encing (Sentencing Strategies)</w:t>
      </w:r>
      <w:r>
        <w:rPr>
          <w:rFonts w:ascii="Arial" w:eastAsia="Arial" w:hAnsi="Arial" w:cs="Arial"/>
          <w:color w:val="000000"/>
          <w:sz w:val="20"/>
          <w:szCs w:val="20"/>
        </w:rPr>
        <w:t>,” “</w:t>
      </w:r>
      <w:r>
        <w:rPr>
          <w:rFonts w:ascii="Arial" w:eastAsia="Arial" w:hAnsi="Arial" w:cs="Arial"/>
          <w:i/>
          <w:color w:val="000000"/>
          <w:sz w:val="20"/>
          <w:szCs w:val="20"/>
        </w:rPr>
        <w:t>Involuntary Commitment of Sexual Predators</w:t>
      </w:r>
      <w:r>
        <w:rPr>
          <w:rFonts w:ascii="Arial" w:eastAsia="Arial" w:hAnsi="Arial" w:cs="Arial"/>
          <w:color w:val="000000"/>
          <w:sz w:val="20"/>
          <w:szCs w:val="20"/>
        </w:rPr>
        <w:t>,” “</w:t>
      </w:r>
      <w:r>
        <w:rPr>
          <w:rFonts w:ascii="Arial" w:eastAsia="Arial" w:hAnsi="Arial" w:cs="Arial"/>
          <w:i/>
          <w:color w:val="000000"/>
          <w:sz w:val="20"/>
          <w:szCs w:val="20"/>
        </w:rPr>
        <w:t>Offender Needs</w:t>
      </w:r>
      <w:r>
        <w:rPr>
          <w:rFonts w:ascii="Arial" w:eastAsia="Arial" w:hAnsi="Arial" w:cs="Arial"/>
          <w:color w:val="000000"/>
          <w:sz w:val="20"/>
          <w:szCs w:val="20"/>
        </w:rPr>
        <w:t>,” and “</w:t>
      </w:r>
      <w:r>
        <w:rPr>
          <w:rFonts w:ascii="Arial" w:eastAsia="Arial" w:hAnsi="Arial" w:cs="Arial"/>
          <w:i/>
          <w:color w:val="000000"/>
          <w:sz w:val="20"/>
          <w:szCs w:val="20"/>
        </w:rPr>
        <w:t>Prison Overcrowding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,” In Encyclopedia of Community Corrections, Sage Publications, Inc. 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Zeisor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M. and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Kremling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J. (2012). “</w:t>
      </w:r>
      <w:r>
        <w:rPr>
          <w:rFonts w:ascii="Arial" w:eastAsia="Arial" w:hAnsi="Arial" w:cs="Arial"/>
          <w:i/>
          <w:color w:val="000000"/>
          <w:sz w:val="20"/>
          <w:szCs w:val="20"/>
        </w:rPr>
        <w:t>Middle East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”, Encyclopedia of Transnational Crime and Justice, Sage Publishing, Inc. 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Peters, R.H., &amp;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Kremling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J. (2008). </w:t>
      </w:r>
      <w:r>
        <w:rPr>
          <w:rFonts w:ascii="Arial" w:eastAsia="Arial" w:hAnsi="Arial" w:cs="Arial"/>
          <w:i/>
          <w:color w:val="000000"/>
          <w:sz w:val="20"/>
          <w:szCs w:val="20"/>
        </w:rPr>
        <w:t>Prisons and Jails; Drug Treatment in Prisons and Jails; and Drug use and HIV/AIDS in Prisons and Jails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  In P.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Korsmeyer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&amp; H.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Kranzler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(Eds.), </w:t>
      </w:r>
      <w:r>
        <w:rPr>
          <w:rFonts w:ascii="Arial" w:eastAsia="Arial" w:hAnsi="Arial" w:cs="Arial"/>
          <w:color w:val="000000"/>
          <w:sz w:val="20"/>
          <w:szCs w:val="20"/>
        </w:rPr>
        <w:t>Encyclopedia of Drugs, Alcohol and Addictive Behavior, Third Edition (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pps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 289-297).  New York: MacMillan Press.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7F5716" w:rsidRDefault="002374D1" w:rsidP="007F57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Presentations at professional conferences</w:t>
      </w:r>
    </w:p>
    <w:p w:rsidR="007F5716" w:rsidRDefault="007F5716" w:rsidP="007F57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</w:pPr>
    </w:p>
    <w:p w:rsidR="007F5716" w:rsidRPr="007F5716" w:rsidRDefault="007F5716" w:rsidP="007F57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r w:rsidRPr="007F5716">
        <w:rPr>
          <w:rFonts w:ascii="Arial" w:hAnsi="Arial" w:cs="Arial"/>
          <w:sz w:val="20"/>
          <w:szCs w:val="20"/>
        </w:rPr>
        <w:t xml:space="preserve">Tolman, A. and </w:t>
      </w:r>
      <w:proofErr w:type="spellStart"/>
      <w:r w:rsidRPr="007F5716">
        <w:rPr>
          <w:rFonts w:ascii="Arial" w:hAnsi="Arial" w:cs="Arial"/>
          <w:sz w:val="20"/>
          <w:szCs w:val="20"/>
        </w:rPr>
        <w:t>Kremling</w:t>
      </w:r>
      <w:proofErr w:type="spellEnd"/>
      <w:r w:rsidRPr="007F5716">
        <w:rPr>
          <w:rFonts w:ascii="Arial" w:hAnsi="Arial" w:cs="Arial"/>
          <w:sz w:val="20"/>
          <w:szCs w:val="20"/>
        </w:rPr>
        <w:t>, J. (2018). “Enhancing Student Motivation and Success by Reducing Resistance to Active Learning.” Presented at the “</w:t>
      </w:r>
      <w:r w:rsidRPr="007F5716">
        <w:rPr>
          <w:rFonts w:ascii="Arial" w:hAnsi="Arial" w:cs="Arial"/>
          <w:color w:val="000000"/>
          <w:sz w:val="20"/>
          <w:szCs w:val="20"/>
        </w:rPr>
        <w:t xml:space="preserve">Original Lilly Conference on College Teaching” in Miami, OH, Nov. 16-18, 2018. </w:t>
      </w:r>
    </w:p>
    <w:p w:rsidR="007F5716" w:rsidRPr="007F5716" w:rsidRDefault="007F5716" w:rsidP="007F57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hAnsi="Arial" w:cs="Arial"/>
          <w:sz w:val="20"/>
          <w:szCs w:val="20"/>
        </w:rPr>
      </w:pPr>
    </w:p>
    <w:p w:rsidR="007F5716" w:rsidRPr="007F5716" w:rsidRDefault="007F5716" w:rsidP="007F57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7F5716">
        <w:rPr>
          <w:rFonts w:ascii="Arial" w:hAnsi="Arial" w:cs="Arial"/>
          <w:sz w:val="20"/>
          <w:szCs w:val="20"/>
        </w:rPr>
        <w:t>Kremling</w:t>
      </w:r>
      <w:proofErr w:type="spellEnd"/>
      <w:r w:rsidRPr="007F5716">
        <w:rPr>
          <w:rFonts w:ascii="Arial" w:hAnsi="Arial" w:cs="Arial"/>
          <w:sz w:val="20"/>
          <w:szCs w:val="20"/>
        </w:rPr>
        <w:t>, J. (2018). Plenary Speaker at the 20</w:t>
      </w:r>
      <w:r w:rsidRPr="007F5716">
        <w:rPr>
          <w:rFonts w:ascii="Arial" w:hAnsi="Arial" w:cs="Arial"/>
          <w:sz w:val="20"/>
          <w:szCs w:val="20"/>
          <w:vertAlign w:val="superscript"/>
        </w:rPr>
        <w:t>th</w:t>
      </w:r>
      <w:r w:rsidRPr="007F5716">
        <w:rPr>
          <w:rFonts w:ascii="Arial" w:hAnsi="Arial" w:cs="Arial"/>
          <w:sz w:val="20"/>
          <w:szCs w:val="20"/>
        </w:rPr>
        <w:t xml:space="preserve"> Annual CSU Symposium for University Teaching held at Cal Poly Pomona on April 13-14, 2018. </w:t>
      </w:r>
    </w:p>
    <w:p w:rsidR="007F5716" w:rsidRPr="007F5716" w:rsidRDefault="007F57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  <w:highlight w:val="white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Christian Jordan Howell, John Cochran, Caitlyn Meade, Janine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Kremling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M. Dwayne Smith, Beth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>Bjerregaard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highlight w:val="white"/>
        </w:rPr>
        <w:t xml:space="preserve">, Sondra Fogel (2017). The Effect of Contextual Factors in Capital Sentencing Outcomes. </w:t>
      </w:r>
      <w:r>
        <w:rPr>
          <w:rFonts w:ascii="Arial" w:eastAsia="Arial" w:hAnsi="Arial" w:cs="Arial"/>
          <w:color w:val="000000"/>
          <w:sz w:val="20"/>
          <w:szCs w:val="20"/>
        </w:rPr>
        <w:t>Annual Meeting of the American Society of Criminology in Philade</w:t>
      </w:r>
      <w:r>
        <w:rPr>
          <w:rFonts w:ascii="Arial" w:eastAsia="Arial" w:hAnsi="Arial" w:cs="Arial"/>
          <w:color w:val="000000"/>
          <w:sz w:val="20"/>
          <w:szCs w:val="20"/>
        </w:rPr>
        <w:t>lphia, PA, from November 15-18.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Kremling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J. (2015). 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Connection Between Age of Onset of </w:t>
      </w:r>
      <w:proofErr w:type="gramStart"/>
      <w:r>
        <w:rPr>
          <w:rFonts w:ascii="Arial" w:eastAsia="Arial" w:hAnsi="Arial" w:cs="Arial"/>
          <w:i/>
          <w:color w:val="000000"/>
          <w:sz w:val="20"/>
          <w:szCs w:val="20"/>
        </w:rPr>
        <w:t>Alcohol  and</w:t>
      </w:r>
      <w:proofErr w:type="gram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Drug Use, Substance Dependence, Arrest History, Offense Type, and Severity</w:t>
      </w:r>
      <w:r>
        <w:rPr>
          <w:rFonts w:ascii="Arial" w:eastAsia="Arial" w:hAnsi="Arial" w:cs="Arial"/>
          <w:color w:val="000000"/>
          <w:sz w:val="20"/>
          <w:szCs w:val="20"/>
        </w:rPr>
        <w:t>. Annual Meeting of the American Society of Criminology in Washington, D.C. from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November 18-21.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Smith, D. M.,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Kremling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J.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Folgel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S. J., and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Bjerregaard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B. (2014). An Analysis of Long-Term Judicial Outcomes of Defendants Convicted in Capital Punishment Trials. Presented at the annual meeting of the American Society of Criminology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in San Francisco, CA. 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Kremling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J., Peters, R., and Hunt, B. (2013). Accuracy of Self-Reported Drug Use among Offenders.  Presented at the annual meeting of the American Society of Criminology in Atlanta, GA. 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FF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FF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Kremling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J. and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Reckdenwald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A. (2012), “A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 Application of the Marshall Hypothesis to California’s Three Strikes Law.” Presented at the annual meeting of the American Society of Criminology in Chicago, IL. 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Leh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A. and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Kremling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J. (2012). “The Use of Blog and Discussion Board in Online Classes.”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In London, Great Britain.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FF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lastRenderedPageBreak/>
        <w:t>Leh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A.,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Kremling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J., Nakayama, M., and Newberry, B. (2012). </w:t>
      </w:r>
      <w:r>
        <w:rPr>
          <w:rFonts w:ascii="Arial" w:eastAsia="Arial" w:hAnsi="Arial" w:cs="Arial"/>
          <w:i/>
          <w:color w:val="000000"/>
          <w:sz w:val="20"/>
          <w:szCs w:val="20"/>
        </w:rPr>
        <w:t>Effects of the Use of the Blog and Discussion Board on Online Teaching and Learning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March 5-9, Society for Information Technology and Teacher Education, Austin, TX. 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Kremling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J. and A.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Reckdenwald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(2012). Evaluating Juror Comprehension of the newly implemented California capital sentencing instructions. Presented at Western Criminology Conference, February 16-18, Newport Beach, California. 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Kremling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J., Tolman, A., and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Radmall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R. (2012).  Using the Transtheoretical Model of Change to Reduce Student Resistance to Active Learning. Presented at Western Criminology Conference, February 16-18, Newport Beach, California. 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Kremling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J. and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Reckde</w:t>
      </w:r>
      <w:r>
        <w:rPr>
          <w:rFonts w:ascii="Arial" w:eastAsia="Arial" w:hAnsi="Arial" w:cs="Arial"/>
          <w:color w:val="000000"/>
          <w:sz w:val="20"/>
          <w:szCs w:val="20"/>
        </w:rPr>
        <w:t>nwald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A. (2011). Attitudes and Jury Comprehension of Capital Jury Instructions. American Society of Criminology Conference, November 16-19, Washington, D.C. 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Kremling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J. and Tolman, A. (2012). Addressing Student Ineffective Learning Behaviors: The Utili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ty of Metacognitive Instruments. Presented at Lilly West, Pomona, California. See 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Kremling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J. and Tolman, A. (2011). Using Metacognitive Instruments to Increase Readiness to Change Learning Behaviors. Presented at Lilly West, Pomona, California. </w:t>
      </w: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Kremling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J. and A.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Reckdenwald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(2010). Improving Juror Comprehension in Capital Case Sentencing Instructions. Presented at the annual meeting of the American Society of Criminology in San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Francisko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California. 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Janine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Kremling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(2010), “How to Write a 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search Paper.” Presented at the 13th CSU Symposium on University Teaching at California State University at San Bernardino, CA. 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Janine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Kremling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(2009)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,”An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Analysis of the Influence of Sampling on the Estimation of Drug Use Prevalence and Patterns Among 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rrestees in the United states. Implications for Policy and Research. Presented at the annual meeting of the American Society of Criminology in Philadelphia, PA. 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Janine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Kremling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(2007), “Minority Threat and Death Sentencing in North Carolina.” Presented 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t the annual meeting of the American Society of Criminology in Atlanta, Georgia. 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Amy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Reckdenwald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and Janine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Kremling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(2006), “Disaggregating the Effects of the Victim-Offender Relationship by the Offender’s Race in NC Death Sentencing Outcomes.” Presente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d at the annual meeting of the American Society of Criminology in Los Angeles, California. 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Kremling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Janine (2005). “The Influence of Victim Characteristics on the Outcome of Capital Cases.” Paper presented at the annual meeting of the American Society of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Criminology in Toronto, Canada. 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Janine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Kremling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(2004). “The Role of Mitigation in Capital Sentencing in North Carolina Before and After </w:t>
      </w:r>
      <w:proofErr w:type="spellStart"/>
      <w:r>
        <w:rPr>
          <w:rFonts w:ascii="Arial" w:eastAsia="Arial" w:hAnsi="Arial" w:cs="Arial"/>
          <w:i/>
          <w:color w:val="000000"/>
          <w:sz w:val="20"/>
          <w:szCs w:val="20"/>
        </w:rPr>
        <w:t>McKoy</w:t>
      </w:r>
      <w:proofErr w:type="spellEnd"/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v. North Carolina.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(1990).” Paper presented at the annual meeting of the American Society of Criminology in Na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shville, Tennessee. 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lastRenderedPageBreak/>
        <w:t>Verrill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Stephen, Amy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Reckdenwald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and Janine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Kremling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(2003). The Influence of Victim Attributes on Capital Murder Sentencing Decisions in North Carolina. Paper presented at the annual meeting of the American Society of Criminology i</w:t>
      </w:r>
      <w:r>
        <w:rPr>
          <w:rFonts w:ascii="Arial" w:eastAsia="Arial" w:hAnsi="Arial" w:cs="Arial"/>
          <w:color w:val="000000"/>
          <w:sz w:val="20"/>
          <w:szCs w:val="20"/>
        </w:rPr>
        <w:t>n Denver, Colorado.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Grants received 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CSU Chancellor Office: Proven Course Redesign Grant for CJUS 312 “Introduction to Statistics.” Rewarded in March 2017: $7,932.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Connected Learning with Engaging Technologies. September 2016. Sponsored by ATI and TRC.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Grant received in July 2016. $1,500.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Department of Academic Technologies and Innovation, California State University at San Bernardino. Development of a Quality Assurance Tool for Distributed Learning. Rewarded on May 1, 2015: $8,000.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Superior Court of California, County of San Bernardino: IFB No.13-03, Drug Court Evaluator. Rewarded on November 30, 2012: $10,000. 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Criminal Justice B.A. Online Degree Completion Program. </w:t>
      </w:r>
      <w:r>
        <w:rPr>
          <w:rFonts w:ascii="Arial" w:eastAsia="Arial" w:hAnsi="Arial" w:cs="Arial"/>
          <w:i/>
          <w:color w:val="000000"/>
          <w:sz w:val="20"/>
          <w:szCs w:val="20"/>
        </w:rPr>
        <w:t>The Presidents Future Funds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. CSUSB: $75,000. Rewarded on November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19, 2012. 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Innovative Course Development Grant (Summer 2013). A Writing Intensive Class in Correctional Theory and Institutions, $3,000. 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Teaching Skills Study Award 2013, $1,000: “FETC National Conference,” Orlando, Fl. January 28-31, 2013. 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Mini Grant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2012: “Application of the Marshall Hypothesis to California’s Three Strikes Law.” $4,000, Submitted on January 22, 2012. 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Summer Research Fellowship 2012: “Drugs, Crime, and Justice.” Submitted on February 22, 2012. $3,000. 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Teaching Resource Center Thi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nk Tank on Writing Intensive Courses. $6,000, Submitted on February 12, 2012. 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Evans Research Travel Grant. Submitted on March 8, 2012. $1,000. 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Winter 2011 Teaching Skills Study Award for Lilly West Conference in March 2012 in Pomona, CA, $1,000. 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Promoting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SoTL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(Scholarship of Teaching and Learning) (2012). $1,000, “Using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TopHatMonocle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to Reduce Statistics Anxiety.” 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Innovative Course Development Grant (Summer 2011). $3,000, Problem-Based Learning in Correctional Theory and Institutions. 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Mini Grant (Summer 2010). $4,000, “Jury Instruction in Capital Cases in California” 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Teaching Skills Study Award for Lilly West Conference 2010 (Winter 2010). $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1,000,Teaching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 xml:space="preserve"> Resource Center. 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Promoting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SoTL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(Scholarship of Teaching and Learning) (2010).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$1,000, “Use of Metacognitive Instruments to Reduce Student Resistance to Active Learning,” Teaching Resource Center. 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Classes Taught and Scheduled to Teach</w:t>
      </w:r>
    </w:p>
    <w:p w:rsidR="008046F9" w:rsidRDefault="008046F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Introduction to Criminal Justice</w:t>
      </w: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Correctional Theory and Institutions</w:t>
      </w: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Courts and the Law</w:t>
      </w: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Transn</w:t>
      </w:r>
      <w:r>
        <w:rPr>
          <w:rFonts w:ascii="Arial" w:eastAsia="Arial" w:hAnsi="Arial" w:cs="Arial"/>
          <w:color w:val="000000"/>
          <w:sz w:val="20"/>
          <w:szCs w:val="20"/>
        </w:rPr>
        <w:t>ational Crime</w:t>
      </w:r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Statistics </w:t>
      </w:r>
      <w:r w:rsidR="00C6314A">
        <w:rPr>
          <w:rFonts w:ascii="Arial" w:eastAsia="Arial" w:hAnsi="Arial" w:cs="Arial"/>
          <w:color w:val="000000"/>
          <w:sz w:val="20"/>
          <w:szCs w:val="20"/>
        </w:rPr>
        <w:t>in Criminal Justice</w:t>
      </w:r>
      <w:bookmarkStart w:id="0" w:name="_GoBack"/>
      <w:bookmarkEnd w:id="0"/>
    </w:p>
    <w:p w:rsidR="008046F9" w:rsidRDefault="002374D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hanging="7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Criminal Law and Procedure</w:t>
      </w:r>
    </w:p>
    <w:p w:rsidR="008046F9" w:rsidRDefault="008046F9">
      <w:pPr>
        <w:rPr>
          <w:rFonts w:ascii="Arial" w:eastAsia="Arial" w:hAnsi="Arial" w:cs="Arial"/>
          <w:sz w:val="20"/>
          <w:szCs w:val="20"/>
        </w:rPr>
      </w:pPr>
    </w:p>
    <w:p w:rsidR="008046F9" w:rsidRDefault="008046F9">
      <w:pPr>
        <w:tabs>
          <w:tab w:val="left" w:pos="1920"/>
        </w:tabs>
      </w:pPr>
    </w:p>
    <w:sectPr w:rsidR="008046F9">
      <w:headerReference w:type="even" r:id="rId7"/>
      <w:headerReference w:type="default" r:id="rId8"/>
      <w:pgSz w:w="12240" w:h="15840"/>
      <w:pgMar w:top="1440" w:right="1800" w:bottom="14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4D1" w:rsidRDefault="002374D1">
      <w:r>
        <w:separator/>
      </w:r>
    </w:p>
  </w:endnote>
  <w:endnote w:type="continuationSeparator" w:id="0">
    <w:p w:rsidR="002374D1" w:rsidRDefault="0023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4D1" w:rsidRDefault="002374D1">
      <w:r>
        <w:separator/>
      </w:r>
    </w:p>
  </w:footnote>
  <w:footnote w:type="continuationSeparator" w:id="0">
    <w:p w:rsidR="002374D1" w:rsidRDefault="00237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6F9" w:rsidRDefault="002374D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8046F9" w:rsidRDefault="008046F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6F9" w:rsidRDefault="002374D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D51121">
      <w:rPr>
        <w:color w:val="000000"/>
      </w:rPr>
      <w:fldChar w:fldCharType="separate"/>
    </w:r>
    <w:r w:rsidR="00D51121">
      <w:rPr>
        <w:noProof/>
        <w:color w:val="000000"/>
      </w:rPr>
      <w:t>2</w:t>
    </w:r>
    <w:r>
      <w:rPr>
        <w:color w:val="000000"/>
      </w:rPr>
      <w:fldChar w:fldCharType="end"/>
    </w:r>
  </w:p>
  <w:p w:rsidR="008046F9" w:rsidRDefault="008046F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2291B"/>
    <w:multiLevelType w:val="hybridMultilevel"/>
    <w:tmpl w:val="C9ECD906"/>
    <w:lvl w:ilvl="0" w:tplc="D1240A4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6F9"/>
    <w:rsid w:val="002374D1"/>
    <w:rsid w:val="007F5716"/>
    <w:rsid w:val="008046F9"/>
    <w:rsid w:val="00A11B00"/>
    <w:rsid w:val="00C6314A"/>
    <w:rsid w:val="00D51121"/>
    <w:rsid w:val="00DA4410"/>
    <w:rsid w:val="00E2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888614"/>
  <w15:docId w15:val="{F97327FE-F7D2-2D4D-840D-653E28FA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F571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1860</Words>
  <Characters>10603</Characters>
  <Application>Microsoft Office Word</Application>
  <DocSecurity>0</DocSecurity>
  <Lines>88</Lines>
  <Paragraphs>24</Paragraphs>
  <ScaleCrop>false</ScaleCrop>
  <Company/>
  <LinksUpToDate>false</LinksUpToDate>
  <CharactersWithSpaces>12439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2020-10-14T22:20:00Z</dcterms:created>
  <dcterms:modified xsi:type="dcterms:W3CDTF">2020-10-14T22:20:00Z</dcterms:modified>
</cp:coreProperties>
</file>