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bookmarkStart w:id="0" w:name="_GoBack"/>
      <w:bookmarkEnd w:id="0"/>
      <w:r>
        <w:rPr>
          <w:rFonts w:ascii="Arial" w:hAnsi="Arial" w:cs="Arial"/>
          <w:sz w:val="22"/>
          <w:szCs w:val="22"/>
        </w:rPr>
        <w:t>Natural Sciences Chairs Council</w:t>
      </w:r>
    </w:p>
    <w:p w:rsidR="00004183" w:rsidRDefault="00004183" w:rsidP="00004183">
      <w:pPr>
        <w:jc w:val="center"/>
        <w:rPr>
          <w:rFonts w:ascii="Arial" w:hAnsi="Arial" w:cs="Arial"/>
          <w:sz w:val="22"/>
          <w:szCs w:val="22"/>
        </w:rPr>
      </w:pPr>
      <w:r>
        <w:rPr>
          <w:rFonts w:ascii="Arial" w:hAnsi="Arial" w:cs="Arial"/>
          <w:sz w:val="22"/>
          <w:szCs w:val="22"/>
        </w:rPr>
        <w:t>September 5, 2018</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 S. Pantula, S. McGill, P. Dixon, S. McMurran, B. Haddock, Terri Burch,  D. Maynard, C. Davis, S. Yang, H. Qiao, P. Orwin, T. Valencia, K. Shaw, J. Fischer-Smith, D. Rinebolt</w:t>
      </w:r>
    </w:p>
    <w:p w:rsidR="00004183" w:rsidRDefault="00004183" w:rsidP="00004183">
      <w:pPr>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bCs/>
          <w:sz w:val="22"/>
          <w:szCs w:val="22"/>
        </w:rPr>
        <w:t>Approval of minutes</w:t>
      </w:r>
      <w:r>
        <w:rPr>
          <w:rFonts w:ascii="Arial" w:hAnsi="Arial" w:cs="Arial"/>
          <w:bCs/>
          <w:sz w:val="22"/>
          <w:szCs w:val="22"/>
        </w:rPr>
        <w:t xml:space="preserve"> </w:t>
      </w:r>
      <w:r>
        <w:rPr>
          <w:rFonts w:ascii="Arial" w:hAnsi="Arial" w:cs="Arial"/>
          <w:sz w:val="22"/>
          <w:szCs w:val="22"/>
        </w:rPr>
        <w:t xml:space="preserve">for </w:t>
      </w:r>
      <w:r w:rsidR="005F2D75">
        <w:rPr>
          <w:rFonts w:ascii="Arial" w:hAnsi="Arial" w:cs="Arial"/>
          <w:sz w:val="22"/>
          <w:szCs w:val="22"/>
        </w:rPr>
        <w:t>August 1</w:t>
      </w:r>
      <w:r>
        <w:rPr>
          <w:rFonts w:ascii="Arial" w:hAnsi="Arial" w:cs="Arial"/>
          <w:sz w:val="22"/>
          <w:szCs w:val="22"/>
        </w:rPr>
        <w:t>5, 2018</w:t>
      </w:r>
    </w:p>
    <w:p w:rsidR="00004183" w:rsidRDefault="00004183" w:rsidP="00004183">
      <w:pPr>
        <w:pStyle w:val="ListParagraph"/>
        <w:rPr>
          <w:rFonts w:ascii="Arial" w:hAnsi="Arial" w:cs="Arial"/>
          <w:bCs/>
          <w:sz w:val="22"/>
          <w:szCs w:val="22"/>
        </w:rPr>
      </w:pPr>
      <w:r>
        <w:rPr>
          <w:rFonts w:ascii="Arial" w:hAnsi="Arial" w:cs="Arial"/>
          <w:bCs/>
          <w:sz w:val="22"/>
          <w:szCs w:val="22"/>
        </w:rPr>
        <w:t>Approved as distributed.</w:t>
      </w:r>
    </w:p>
    <w:p w:rsidR="00004183" w:rsidRDefault="00004183" w:rsidP="00004183">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0E1D2E" w:rsidRPr="0011533E" w:rsidRDefault="000E1D2E" w:rsidP="0011533E">
      <w:pPr>
        <w:pStyle w:val="ListParagraph"/>
        <w:numPr>
          <w:ilvl w:val="0"/>
          <w:numId w:val="2"/>
        </w:numPr>
        <w:tabs>
          <w:tab w:val="left" w:pos="1170"/>
        </w:tabs>
        <w:rPr>
          <w:rFonts w:ascii="Arial" w:hAnsi="Arial" w:cs="Arial"/>
          <w:sz w:val="22"/>
          <w:szCs w:val="22"/>
        </w:rPr>
      </w:pPr>
      <w:r>
        <w:rPr>
          <w:rFonts w:ascii="Arial" w:hAnsi="Arial" w:cs="Arial"/>
          <w:sz w:val="22"/>
          <w:szCs w:val="22"/>
        </w:rPr>
        <w:t>Dr. Pantula reported that OSHA has visited 17 of the 23 campuses recently.  They plan on visiting our campus soon.  When OSHA shows up at one of your labs, please contact Environmental Health &amp; Safety immediately.</w:t>
      </w:r>
      <w:r w:rsidR="00F3731D">
        <w:rPr>
          <w:rFonts w:ascii="Arial" w:hAnsi="Arial" w:cs="Arial"/>
          <w:sz w:val="22"/>
          <w:szCs w:val="22"/>
        </w:rPr>
        <w:t xml:space="preserve"> </w:t>
      </w:r>
      <w:r w:rsidRPr="0011533E">
        <w:rPr>
          <w:rFonts w:ascii="Arial" w:hAnsi="Arial" w:cs="Arial"/>
          <w:sz w:val="22"/>
          <w:szCs w:val="22"/>
        </w:rPr>
        <w:t>About 50% of the faculty need to complete the online safety training.  Please make sure your faculty take care of this right away.</w:t>
      </w:r>
    </w:p>
    <w:p w:rsidR="00004183" w:rsidRDefault="00004183"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Dr. McGill reported that for Fall</w:t>
      </w:r>
      <w:r w:rsidR="00F3731D">
        <w:rPr>
          <w:rFonts w:ascii="Arial" w:hAnsi="Arial" w:cs="Arial"/>
          <w:sz w:val="22"/>
          <w:szCs w:val="22"/>
        </w:rPr>
        <w:t xml:space="preserve"> Qtr.</w:t>
      </w:r>
      <w:r>
        <w:rPr>
          <w:rFonts w:ascii="Arial" w:hAnsi="Arial" w:cs="Arial"/>
          <w:sz w:val="22"/>
          <w:szCs w:val="22"/>
        </w:rPr>
        <w:t xml:space="preserve"> the University is at 99% of target and the College is at 99% of target.</w:t>
      </w:r>
    </w:p>
    <w:p w:rsidR="00004183" w:rsidRDefault="00004183"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Dr. McGill distributed a list of courses that appear to be bottleneck courses.</w:t>
      </w:r>
    </w:p>
    <w:p w:rsidR="00004183" w:rsidRPr="00482054" w:rsidRDefault="00004183" w:rsidP="00004183">
      <w:pPr>
        <w:pStyle w:val="ListParagraph"/>
        <w:numPr>
          <w:ilvl w:val="0"/>
          <w:numId w:val="2"/>
        </w:numPr>
        <w:rPr>
          <w:rFonts w:ascii="Arial" w:hAnsi="Arial" w:cs="Arial"/>
          <w:sz w:val="22"/>
          <w:szCs w:val="22"/>
        </w:rPr>
      </w:pPr>
      <w:r>
        <w:rPr>
          <w:rFonts w:ascii="Arial" w:hAnsi="Arial" w:cs="Arial"/>
          <w:sz w:val="22"/>
          <w:szCs w:val="22"/>
        </w:rPr>
        <w:t>Dr. McGill announced that advising for Winter Qtr. begins October 22</w:t>
      </w:r>
      <w:r w:rsidRPr="00004183">
        <w:rPr>
          <w:rFonts w:ascii="Arial" w:hAnsi="Arial" w:cs="Arial"/>
          <w:sz w:val="22"/>
          <w:szCs w:val="22"/>
          <w:vertAlign w:val="superscript"/>
        </w:rPr>
        <w:t>nd</w:t>
      </w:r>
      <w:r>
        <w:rPr>
          <w:rFonts w:ascii="Arial" w:hAnsi="Arial" w:cs="Arial"/>
          <w:sz w:val="22"/>
          <w:szCs w:val="22"/>
        </w:rPr>
        <w:t>.  Registration begins October 29</w:t>
      </w:r>
      <w:r w:rsidRPr="00004183">
        <w:rPr>
          <w:rFonts w:ascii="Arial" w:hAnsi="Arial" w:cs="Arial"/>
          <w:sz w:val="22"/>
          <w:szCs w:val="22"/>
          <w:vertAlign w:val="superscript"/>
        </w:rPr>
        <w:t>th</w:t>
      </w:r>
      <w:r>
        <w:rPr>
          <w:rFonts w:ascii="Arial" w:hAnsi="Arial" w:cs="Arial"/>
          <w:sz w:val="22"/>
          <w:szCs w:val="22"/>
        </w:rPr>
        <w:t xml:space="preserve">.  </w:t>
      </w:r>
    </w:p>
    <w:p w:rsidR="00004183" w:rsidRPr="00EE6D51" w:rsidRDefault="00004183" w:rsidP="00004183">
      <w:pPr>
        <w:pStyle w:val="ListParagraph"/>
        <w:ind w:left="0"/>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sz w:val="22"/>
          <w:szCs w:val="22"/>
        </w:rPr>
        <w:t>Discussion Items</w:t>
      </w:r>
      <w:r>
        <w:rPr>
          <w:rFonts w:ascii="Arial" w:hAnsi="Arial" w:cs="Arial"/>
          <w:sz w:val="22"/>
          <w:szCs w:val="22"/>
        </w:rPr>
        <w:t>:</w:t>
      </w:r>
    </w:p>
    <w:p w:rsidR="00004183" w:rsidRDefault="00004183" w:rsidP="00004183">
      <w:pPr>
        <w:pStyle w:val="ListParagraph"/>
        <w:ind w:left="108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rPr>
      </w:pPr>
      <w:r>
        <w:rPr>
          <w:rFonts w:ascii="Arial" w:hAnsi="Arial" w:cs="Arial"/>
          <w:sz w:val="22"/>
          <w:szCs w:val="22"/>
          <w:u w:val="single"/>
        </w:rPr>
        <w:t>Advising</w:t>
      </w:r>
      <w:r>
        <w:rPr>
          <w:rFonts w:ascii="Arial" w:hAnsi="Arial" w:cs="Arial"/>
          <w:sz w:val="22"/>
          <w:szCs w:val="22"/>
        </w:rPr>
        <w:t xml:space="preserve"> (Sastry Pantula)</w:t>
      </w:r>
    </w:p>
    <w:p w:rsidR="00004183" w:rsidRDefault="009A1333" w:rsidP="009A1333">
      <w:pPr>
        <w:pStyle w:val="ListParagraph"/>
        <w:numPr>
          <w:ilvl w:val="0"/>
          <w:numId w:val="2"/>
        </w:numPr>
        <w:rPr>
          <w:rFonts w:ascii="Arial" w:hAnsi="Arial" w:cs="Arial"/>
          <w:sz w:val="22"/>
          <w:szCs w:val="22"/>
        </w:rPr>
      </w:pPr>
      <w:r w:rsidRPr="009A1333">
        <w:rPr>
          <w:rFonts w:ascii="Arial" w:hAnsi="Arial" w:cs="Arial"/>
          <w:sz w:val="22"/>
          <w:szCs w:val="22"/>
        </w:rPr>
        <w:t>Dr. Pantula wanted to discuss the advising procedures of the different departments, as advising plays a big role in student success.</w:t>
      </w:r>
    </w:p>
    <w:p w:rsidR="009A1333" w:rsidRDefault="009A1333" w:rsidP="009A1333">
      <w:pPr>
        <w:pStyle w:val="ListParagraph"/>
        <w:numPr>
          <w:ilvl w:val="0"/>
          <w:numId w:val="2"/>
        </w:numPr>
        <w:rPr>
          <w:rFonts w:ascii="Arial" w:hAnsi="Arial" w:cs="Arial"/>
          <w:sz w:val="22"/>
          <w:szCs w:val="22"/>
        </w:rPr>
      </w:pPr>
      <w:r>
        <w:rPr>
          <w:rFonts w:ascii="Arial" w:hAnsi="Arial" w:cs="Arial"/>
          <w:sz w:val="22"/>
          <w:szCs w:val="22"/>
        </w:rPr>
        <w:t>Announced that there are two grants the College has that have student success as their focus:</w:t>
      </w:r>
    </w:p>
    <w:p w:rsidR="009A1333" w:rsidRDefault="009A1333" w:rsidP="009A1333">
      <w:pPr>
        <w:pStyle w:val="ListParagraph"/>
        <w:numPr>
          <w:ilvl w:val="1"/>
          <w:numId w:val="2"/>
        </w:numPr>
        <w:rPr>
          <w:rFonts w:ascii="Arial" w:hAnsi="Arial" w:cs="Arial"/>
          <w:sz w:val="22"/>
          <w:szCs w:val="22"/>
        </w:rPr>
      </w:pPr>
      <w:r>
        <w:rPr>
          <w:rFonts w:ascii="Arial" w:hAnsi="Arial" w:cs="Arial"/>
          <w:sz w:val="22"/>
          <w:szCs w:val="22"/>
        </w:rPr>
        <w:t>A4US</w:t>
      </w:r>
      <w:r w:rsidR="005F2D75">
        <w:rPr>
          <w:rFonts w:ascii="Arial" w:hAnsi="Arial" w:cs="Arial"/>
          <w:sz w:val="22"/>
          <w:szCs w:val="22"/>
        </w:rPr>
        <w:t xml:space="preserve"> – the focus is on how we can serve students better</w:t>
      </w:r>
    </w:p>
    <w:p w:rsidR="009A1333" w:rsidRDefault="00BB4C6F" w:rsidP="009A1333">
      <w:pPr>
        <w:pStyle w:val="ListParagraph"/>
        <w:numPr>
          <w:ilvl w:val="1"/>
          <w:numId w:val="2"/>
        </w:numPr>
        <w:rPr>
          <w:rFonts w:ascii="Arial" w:hAnsi="Arial" w:cs="Arial"/>
          <w:sz w:val="22"/>
          <w:szCs w:val="22"/>
        </w:rPr>
      </w:pPr>
      <w:r>
        <w:rPr>
          <w:rFonts w:ascii="Arial" w:hAnsi="Arial" w:cs="Arial"/>
          <w:sz w:val="22"/>
          <w:szCs w:val="22"/>
        </w:rPr>
        <w:t>ISSUES X – funding to create faculty learning communities and evidence based teaching practices and developing chairs learning communities to assist faculty.</w:t>
      </w:r>
    </w:p>
    <w:p w:rsidR="009A1333" w:rsidRPr="0011533E" w:rsidRDefault="0011533E" w:rsidP="0011533E">
      <w:pPr>
        <w:pStyle w:val="ListParagraph"/>
        <w:numPr>
          <w:ilvl w:val="0"/>
          <w:numId w:val="2"/>
        </w:numPr>
        <w:rPr>
          <w:rFonts w:ascii="Arial" w:hAnsi="Arial" w:cs="Arial"/>
          <w:sz w:val="22"/>
          <w:szCs w:val="22"/>
        </w:rPr>
      </w:pPr>
      <w:r>
        <w:rPr>
          <w:rFonts w:ascii="Arial" w:hAnsi="Arial" w:cs="Arial"/>
          <w:sz w:val="22"/>
          <w:szCs w:val="22"/>
        </w:rPr>
        <w:t xml:space="preserve">Dr. Pantula asked each chair to give a brief presentation of their advising process for their department.  </w:t>
      </w:r>
    </w:p>
    <w:p w:rsidR="009A1333" w:rsidRPr="00C52BBC" w:rsidRDefault="009A1333" w:rsidP="00004183">
      <w:pPr>
        <w:pStyle w:val="ListParagraph"/>
        <w:ind w:left="1080"/>
        <w:rPr>
          <w:rFonts w:ascii="Arial" w:hAnsi="Arial" w:cs="Arial"/>
          <w:sz w:val="22"/>
          <w:szCs w:val="22"/>
        </w:rPr>
      </w:pPr>
    </w:p>
    <w:p w:rsidR="00004183" w:rsidRDefault="00EE02A2" w:rsidP="00004183">
      <w:pPr>
        <w:pStyle w:val="ListParagraph"/>
        <w:numPr>
          <w:ilvl w:val="1"/>
          <w:numId w:val="1"/>
        </w:numPr>
        <w:rPr>
          <w:rFonts w:ascii="Arial" w:hAnsi="Arial" w:cs="Arial"/>
          <w:sz w:val="22"/>
          <w:szCs w:val="22"/>
        </w:rPr>
      </w:pPr>
      <w:r>
        <w:rPr>
          <w:rFonts w:ascii="Arial" w:hAnsi="Arial" w:cs="Arial"/>
          <w:sz w:val="22"/>
          <w:szCs w:val="22"/>
          <w:u w:val="single"/>
        </w:rPr>
        <w:t>Culture of our college</w:t>
      </w:r>
      <w:r w:rsidR="00004183">
        <w:rPr>
          <w:rFonts w:ascii="Arial" w:hAnsi="Arial" w:cs="Arial"/>
          <w:sz w:val="22"/>
          <w:szCs w:val="22"/>
        </w:rPr>
        <w:t xml:space="preserve">  (</w:t>
      </w:r>
      <w:r>
        <w:rPr>
          <w:rFonts w:ascii="Arial" w:hAnsi="Arial" w:cs="Arial"/>
          <w:sz w:val="22"/>
          <w:szCs w:val="22"/>
        </w:rPr>
        <w:t>Sastry Pantula</w:t>
      </w:r>
      <w:r w:rsidR="00004183">
        <w:rPr>
          <w:rFonts w:ascii="Arial" w:hAnsi="Arial" w:cs="Arial"/>
          <w:sz w:val="22"/>
          <w:szCs w:val="22"/>
        </w:rPr>
        <w:t xml:space="preserve">) </w:t>
      </w:r>
    </w:p>
    <w:p w:rsidR="00004183" w:rsidRDefault="00EE02A2" w:rsidP="00004183">
      <w:pPr>
        <w:pStyle w:val="ListParagraph"/>
        <w:numPr>
          <w:ilvl w:val="0"/>
          <w:numId w:val="2"/>
        </w:numPr>
        <w:rPr>
          <w:rFonts w:ascii="Arial" w:hAnsi="Arial" w:cs="Arial"/>
          <w:sz w:val="22"/>
          <w:szCs w:val="22"/>
        </w:rPr>
      </w:pPr>
      <w:r>
        <w:rPr>
          <w:rFonts w:ascii="Arial" w:hAnsi="Arial" w:cs="Arial"/>
          <w:sz w:val="22"/>
          <w:szCs w:val="22"/>
        </w:rPr>
        <w:t>Dr. Pantula announced we would discuss this more at a later time because the advising discussion took longer than he thought it would</w:t>
      </w:r>
      <w:r w:rsidR="00004183">
        <w:rPr>
          <w:rFonts w:ascii="Arial" w:hAnsi="Arial" w:cs="Arial"/>
          <w:sz w:val="22"/>
          <w:szCs w:val="22"/>
        </w:rPr>
        <w:t>.</w:t>
      </w:r>
      <w:r>
        <w:rPr>
          <w:rFonts w:ascii="Arial" w:hAnsi="Arial" w:cs="Arial"/>
          <w:sz w:val="22"/>
          <w:szCs w:val="22"/>
        </w:rPr>
        <w:t xml:space="preserve"> He wanted to emphasize that going forward he would like to see:</w:t>
      </w:r>
    </w:p>
    <w:p w:rsidR="00EE02A2" w:rsidRDefault="00EE02A2" w:rsidP="00EE02A2">
      <w:pPr>
        <w:pStyle w:val="ListParagraph"/>
        <w:numPr>
          <w:ilvl w:val="1"/>
          <w:numId w:val="2"/>
        </w:numPr>
        <w:rPr>
          <w:rFonts w:ascii="Arial" w:hAnsi="Arial" w:cs="Arial"/>
          <w:sz w:val="22"/>
          <w:szCs w:val="22"/>
        </w:rPr>
      </w:pPr>
      <w:r>
        <w:rPr>
          <w:rFonts w:ascii="Arial" w:hAnsi="Arial" w:cs="Arial"/>
          <w:sz w:val="22"/>
          <w:szCs w:val="22"/>
        </w:rPr>
        <w:t>No walls between the departments</w:t>
      </w:r>
    </w:p>
    <w:p w:rsidR="00EE02A2" w:rsidRDefault="00EE02A2" w:rsidP="00EE02A2">
      <w:pPr>
        <w:pStyle w:val="ListParagraph"/>
        <w:numPr>
          <w:ilvl w:val="1"/>
          <w:numId w:val="2"/>
        </w:numPr>
        <w:rPr>
          <w:rFonts w:ascii="Arial" w:hAnsi="Arial" w:cs="Arial"/>
          <w:sz w:val="22"/>
          <w:szCs w:val="22"/>
        </w:rPr>
      </w:pPr>
      <w:r>
        <w:rPr>
          <w:rFonts w:ascii="Arial" w:hAnsi="Arial" w:cs="Arial"/>
          <w:sz w:val="22"/>
          <w:szCs w:val="22"/>
        </w:rPr>
        <w:t>Mutual respect</w:t>
      </w:r>
    </w:p>
    <w:p w:rsidR="00EE02A2" w:rsidRDefault="00EE02A2" w:rsidP="00EE02A2">
      <w:pPr>
        <w:pStyle w:val="ListParagraph"/>
        <w:numPr>
          <w:ilvl w:val="1"/>
          <w:numId w:val="2"/>
        </w:numPr>
        <w:rPr>
          <w:rFonts w:ascii="Arial" w:hAnsi="Arial" w:cs="Arial"/>
          <w:sz w:val="22"/>
          <w:szCs w:val="22"/>
        </w:rPr>
      </w:pPr>
      <w:r>
        <w:rPr>
          <w:rFonts w:ascii="Arial" w:hAnsi="Arial" w:cs="Arial"/>
          <w:sz w:val="22"/>
          <w:szCs w:val="22"/>
        </w:rPr>
        <w:t>Assume the person has good intentions</w:t>
      </w:r>
    </w:p>
    <w:p w:rsidR="00EE02A2" w:rsidRDefault="00EE02A2" w:rsidP="00EE02A2">
      <w:pPr>
        <w:pStyle w:val="ListParagraph"/>
        <w:numPr>
          <w:ilvl w:val="1"/>
          <w:numId w:val="2"/>
        </w:numPr>
        <w:rPr>
          <w:rFonts w:ascii="Arial" w:hAnsi="Arial" w:cs="Arial"/>
          <w:sz w:val="22"/>
          <w:szCs w:val="22"/>
        </w:rPr>
      </w:pPr>
      <w:r>
        <w:rPr>
          <w:rFonts w:ascii="Arial" w:hAnsi="Arial" w:cs="Arial"/>
          <w:sz w:val="22"/>
          <w:szCs w:val="22"/>
        </w:rPr>
        <w:t>Ceremonies to recognize and reward teamwork</w:t>
      </w:r>
    </w:p>
    <w:p w:rsidR="00EE02A2" w:rsidRDefault="00EE02A2" w:rsidP="00EE02A2">
      <w:pPr>
        <w:pStyle w:val="ListParagraph"/>
        <w:numPr>
          <w:ilvl w:val="0"/>
          <w:numId w:val="2"/>
        </w:numPr>
        <w:rPr>
          <w:rFonts w:ascii="Arial" w:hAnsi="Arial" w:cs="Arial"/>
          <w:sz w:val="22"/>
          <w:szCs w:val="22"/>
        </w:rPr>
      </w:pPr>
      <w:r w:rsidRPr="00EE02A2">
        <w:rPr>
          <w:rFonts w:ascii="Arial" w:hAnsi="Arial" w:cs="Arial"/>
          <w:sz w:val="22"/>
          <w:szCs w:val="22"/>
        </w:rPr>
        <w:t>Dr. Pantula</w:t>
      </w:r>
      <w:r w:rsidR="004F312E">
        <w:rPr>
          <w:rFonts w:ascii="Arial" w:hAnsi="Arial" w:cs="Arial"/>
          <w:sz w:val="22"/>
          <w:szCs w:val="22"/>
        </w:rPr>
        <w:t xml:space="preserve"> shared some of the commitments deans made which are applicable to our leadership team in CNS as well:</w:t>
      </w:r>
      <w:r w:rsidRPr="00EE02A2">
        <w:rPr>
          <w:rFonts w:ascii="Arial" w:hAnsi="Arial" w:cs="Arial"/>
          <w:sz w:val="22"/>
          <w:szCs w:val="22"/>
        </w:rPr>
        <w:t xml:space="preserve"> </w:t>
      </w:r>
    </w:p>
    <w:p w:rsidR="00EE02A2" w:rsidRDefault="006C2338" w:rsidP="006C2338">
      <w:pPr>
        <w:pStyle w:val="ListParagraph"/>
        <w:numPr>
          <w:ilvl w:val="1"/>
          <w:numId w:val="2"/>
        </w:numPr>
        <w:rPr>
          <w:rFonts w:ascii="Arial" w:hAnsi="Arial" w:cs="Arial"/>
          <w:sz w:val="22"/>
          <w:szCs w:val="22"/>
        </w:rPr>
      </w:pPr>
      <w:r>
        <w:rPr>
          <w:rFonts w:ascii="Arial" w:hAnsi="Arial" w:cs="Arial"/>
          <w:sz w:val="22"/>
          <w:szCs w:val="22"/>
        </w:rPr>
        <w:t>Support each other</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t>Follow proper channels of communication</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lastRenderedPageBreak/>
        <w:t>Speak with one voice – respect group decisions</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t>Maintain confidentiality</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t>Manage conflicts internally</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t>Practice mutual respect and trust</w:t>
      </w:r>
    </w:p>
    <w:p w:rsidR="006C2338" w:rsidRDefault="006C2338" w:rsidP="006C2338">
      <w:pPr>
        <w:pStyle w:val="ListParagraph"/>
        <w:numPr>
          <w:ilvl w:val="1"/>
          <w:numId w:val="2"/>
        </w:numPr>
        <w:rPr>
          <w:rFonts w:ascii="Arial" w:hAnsi="Arial" w:cs="Arial"/>
          <w:sz w:val="22"/>
          <w:szCs w:val="22"/>
        </w:rPr>
      </w:pPr>
      <w:r>
        <w:rPr>
          <w:rFonts w:ascii="Arial" w:hAnsi="Arial" w:cs="Arial"/>
          <w:sz w:val="22"/>
          <w:szCs w:val="22"/>
        </w:rPr>
        <w:t>Make time for celebration and address challenges</w:t>
      </w:r>
    </w:p>
    <w:p w:rsidR="006C2338" w:rsidRPr="00EE02A2" w:rsidRDefault="006C2338" w:rsidP="006C2338">
      <w:pPr>
        <w:pStyle w:val="ListParagraph"/>
        <w:ind w:left="1800"/>
        <w:rPr>
          <w:rFonts w:ascii="Arial" w:hAnsi="Arial" w:cs="Arial"/>
          <w:sz w:val="22"/>
          <w:szCs w:val="22"/>
        </w:rPr>
      </w:pPr>
    </w:p>
    <w:p w:rsidR="00004183" w:rsidRDefault="006C2338" w:rsidP="00004183">
      <w:pPr>
        <w:pStyle w:val="ListParagraph"/>
        <w:numPr>
          <w:ilvl w:val="1"/>
          <w:numId w:val="1"/>
        </w:numPr>
        <w:tabs>
          <w:tab w:val="left" w:pos="1170"/>
        </w:tabs>
        <w:rPr>
          <w:rFonts w:ascii="Arial" w:hAnsi="Arial" w:cs="Arial"/>
          <w:sz w:val="22"/>
          <w:szCs w:val="22"/>
        </w:rPr>
      </w:pPr>
      <w:r>
        <w:rPr>
          <w:rFonts w:ascii="Arial" w:hAnsi="Arial" w:cs="Arial"/>
          <w:sz w:val="22"/>
          <w:szCs w:val="22"/>
          <w:u w:val="single"/>
        </w:rPr>
        <w:t>GI 2025</w:t>
      </w:r>
      <w:r w:rsidR="000A497F">
        <w:rPr>
          <w:rFonts w:ascii="Arial" w:hAnsi="Arial" w:cs="Arial"/>
          <w:sz w:val="22"/>
          <w:szCs w:val="22"/>
          <w:u w:val="single"/>
        </w:rPr>
        <w:t xml:space="preserve"> Funding</w:t>
      </w:r>
      <w:r w:rsidR="00004183">
        <w:rPr>
          <w:rFonts w:ascii="Arial" w:hAnsi="Arial" w:cs="Arial"/>
          <w:sz w:val="22"/>
          <w:szCs w:val="22"/>
        </w:rPr>
        <w:t xml:space="preserve"> (Sally McGill)</w:t>
      </w:r>
    </w:p>
    <w:p w:rsidR="00004183" w:rsidRDefault="00004183"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that </w:t>
      </w:r>
      <w:r w:rsidR="000A497F">
        <w:rPr>
          <w:rFonts w:ascii="Arial" w:hAnsi="Arial" w:cs="Arial"/>
          <w:sz w:val="22"/>
          <w:szCs w:val="22"/>
        </w:rPr>
        <w:t>there are 3 sources of funding:</w:t>
      </w:r>
    </w:p>
    <w:p w:rsidR="000A497F" w:rsidRDefault="000A497F"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$150,000 </w:t>
      </w:r>
      <w:r w:rsidR="00BD21E8">
        <w:rPr>
          <w:rFonts w:ascii="Arial" w:hAnsi="Arial" w:cs="Arial"/>
          <w:sz w:val="22"/>
          <w:szCs w:val="22"/>
        </w:rPr>
        <w:t>is allocated for continued implementation of EO 1110</w:t>
      </w:r>
    </w:p>
    <w:p w:rsidR="00BD21E8" w:rsidRDefault="00BD21E8"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$100,000 is allocated </w:t>
      </w:r>
      <w:r w:rsidR="004F312E">
        <w:rPr>
          <w:rFonts w:ascii="Arial" w:hAnsi="Arial" w:cs="Arial"/>
          <w:sz w:val="22"/>
          <w:szCs w:val="22"/>
        </w:rPr>
        <w:t xml:space="preserve">to support students who require additional academic support in mathematics and/or English.  </w:t>
      </w:r>
    </w:p>
    <w:p w:rsidR="00BD21E8" w:rsidRDefault="00BD21E8"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$100,000 is allocated to redesigning high enrollment courses with low success rates.  </w:t>
      </w:r>
    </w:p>
    <w:p w:rsidR="00BD21E8" w:rsidRDefault="00BD21E8" w:rsidP="00BD21E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asked chairs to </w:t>
      </w:r>
      <w:r w:rsidR="004F312E">
        <w:rPr>
          <w:rFonts w:ascii="Arial" w:hAnsi="Arial" w:cs="Arial"/>
          <w:sz w:val="22"/>
          <w:szCs w:val="22"/>
        </w:rPr>
        <w:t>send suggestions to her</w:t>
      </w:r>
      <w:r>
        <w:rPr>
          <w:rFonts w:ascii="Arial" w:hAnsi="Arial" w:cs="Arial"/>
          <w:sz w:val="22"/>
          <w:szCs w:val="22"/>
        </w:rPr>
        <w:t xml:space="preserve"> and Dr. Pantula for the use of these funds.</w:t>
      </w:r>
    </w:p>
    <w:p w:rsidR="00BD21E8" w:rsidRPr="00BD21E8" w:rsidRDefault="00BD21E8" w:rsidP="00BD21E8">
      <w:pPr>
        <w:pStyle w:val="ListParagraph"/>
        <w:tabs>
          <w:tab w:val="left" w:pos="1170"/>
        </w:tabs>
        <w:ind w:left="1080"/>
        <w:rPr>
          <w:rFonts w:ascii="Arial" w:hAnsi="Arial" w:cs="Arial"/>
          <w:sz w:val="22"/>
          <w:szCs w:val="22"/>
        </w:rPr>
      </w:pPr>
    </w:p>
    <w:p w:rsidR="00004183" w:rsidRDefault="00BD21E8" w:rsidP="00004183">
      <w:pPr>
        <w:pStyle w:val="ListParagraph"/>
        <w:numPr>
          <w:ilvl w:val="1"/>
          <w:numId w:val="1"/>
        </w:numPr>
        <w:tabs>
          <w:tab w:val="left" w:pos="1170"/>
        </w:tabs>
        <w:rPr>
          <w:rFonts w:ascii="Arial" w:hAnsi="Arial" w:cs="Arial"/>
          <w:sz w:val="22"/>
          <w:szCs w:val="22"/>
        </w:rPr>
      </w:pPr>
      <w:r>
        <w:rPr>
          <w:rFonts w:ascii="Arial" w:hAnsi="Arial" w:cs="Arial"/>
          <w:sz w:val="22"/>
          <w:szCs w:val="22"/>
          <w:u w:val="single"/>
        </w:rPr>
        <w:t>Upcoming Events</w:t>
      </w:r>
      <w:r w:rsidR="00004183">
        <w:rPr>
          <w:rFonts w:ascii="Arial" w:hAnsi="Arial" w:cs="Arial"/>
          <w:sz w:val="22"/>
          <w:szCs w:val="22"/>
        </w:rPr>
        <w:t xml:space="preserve">  (</w:t>
      </w:r>
      <w:r>
        <w:rPr>
          <w:rFonts w:ascii="Arial" w:hAnsi="Arial" w:cs="Arial"/>
          <w:sz w:val="22"/>
          <w:szCs w:val="22"/>
        </w:rPr>
        <w:t>Sastry Pantula</w:t>
      </w:r>
      <w:r w:rsidR="00004183">
        <w:rPr>
          <w:rFonts w:ascii="Arial" w:hAnsi="Arial" w:cs="Arial"/>
          <w:sz w:val="22"/>
          <w:szCs w:val="22"/>
        </w:rPr>
        <w:t>)</w:t>
      </w:r>
    </w:p>
    <w:p w:rsidR="00004183" w:rsidRDefault="00BD21E8" w:rsidP="00004183">
      <w:pPr>
        <w:pStyle w:val="ListParagraph"/>
        <w:numPr>
          <w:ilvl w:val="0"/>
          <w:numId w:val="2"/>
        </w:numPr>
        <w:tabs>
          <w:tab w:val="left" w:pos="1170"/>
        </w:tabs>
        <w:rPr>
          <w:rFonts w:ascii="Arial" w:hAnsi="Arial" w:cs="Arial"/>
          <w:sz w:val="22"/>
          <w:szCs w:val="22"/>
        </w:rPr>
      </w:pPr>
      <w:r>
        <w:rPr>
          <w:rFonts w:ascii="Arial" w:hAnsi="Arial" w:cs="Arial"/>
          <w:sz w:val="22"/>
          <w:szCs w:val="22"/>
        </w:rPr>
        <w:t>Dr. Pantula announced there are several upcoming events that he woul</w:t>
      </w:r>
      <w:r w:rsidR="007431D9">
        <w:rPr>
          <w:rFonts w:ascii="Arial" w:hAnsi="Arial" w:cs="Arial"/>
          <w:sz w:val="22"/>
          <w:szCs w:val="22"/>
        </w:rPr>
        <w:t>d like to see the college be</w:t>
      </w:r>
      <w:r>
        <w:rPr>
          <w:rFonts w:ascii="Arial" w:hAnsi="Arial" w:cs="Arial"/>
          <w:sz w:val="22"/>
          <w:szCs w:val="22"/>
        </w:rPr>
        <w:t xml:space="preserve"> involved in.</w:t>
      </w:r>
    </w:p>
    <w:p w:rsidR="00BD21E8" w:rsidRDefault="00BD21E8"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Convocation (September 17</w:t>
      </w:r>
      <w:r w:rsidRPr="00BD21E8">
        <w:rPr>
          <w:rFonts w:ascii="Arial" w:hAnsi="Arial" w:cs="Arial"/>
          <w:sz w:val="22"/>
          <w:szCs w:val="22"/>
          <w:vertAlign w:val="superscript"/>
        </w:rPr>
        <w:t>th</w:t>
      </w:r>
      <w:r>
        <w:rPr>
          <w:rFonts w:ascii="Arial" w:hAnsi="Arial" w:cs="Arial"/>
          <w:sz w:val="22"/>
          <w:szCs w:val="22"/>
        </w:rPr>
        <w:t xml:space="preserve">)  Events are planned all day long.  Dr. Pantula encouraged all faculty to attend the </w:t>
      </w:r>
      <w:r w:rsidR="007431D9">
        <w:rPr>
          <w:rFonts w:ascii="Arial" w:hAnsi="Arial" w:cs="Arial"/>
          <w:sz w:val="22"/>
          <w:szCs w:val="22"/>
        </w:rPr>
        <w:t>Convocation service at 9 a.m. in the Coussoulis Arena.  The CNS Convocation will take place at 1 p.m. in CS 142.</w:t>
      </w:r>
    </w:p>
    <w:p w:rsidR="007431D9" w:rsidRDefault="007431D9"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New and Newly Promoted Faculty </w:t>
      </w:r>
      <w:r w:rsidR="00BB4C6F">
        <w:rPr>
          <w:rFonts w:ascii="Arial" w:hAnsi="Arial" w:cs="Arial"/>
          <w:sz w:val="22"/>
          <w:szCs w:val="22"/>
        </w:rPr>
        <w:t>Luncheon on Saturday, September 29</w:t>
      </w:r>
      <w:r w:rsidR="00BB4C6F" w:rsidRPr="00BB4C6F">
        <w:rPr>
          <w:rFonts w:ascii="Arial" w:hAnsi="Arial" w:cs="Arial"/>
          <w:sz w:val="22"/>
          <w:szCs w:val="22"/>
          <w:vertAlign w:val="superscript"/>
        </w:rPr>
        <w:t>th</w:t>
      </w:r>
      <w:r w:rsidR="00BB4C6F">
        <w:rPr>
          <w:rFonts w:ascii="Arial" w:hAnsi="Arial" w:cs="Arial"/>
          <w:sz w:val="22"/>
          <w:szCs w:val="22"/>
        </w:rPr>
        <w:t xml:space="preserve">. </w:t>
      </w:r>
    </w:p>
    <w:p w:rsidR="00BB4C6F" w:rsidRDefault="00BB4C6F"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Disability Sports Event (October 6</w:t>
      </w:r>
      <w:r w:rsidRPr="00BB4C6F">
        <w:rPr>
          <w:rFonts w:ascii="Arial" w:hAnsi="Arial" w:cs="Arial"/>
          <w:sz w:val="22"/>
          <w:szCs w:val="22"/>
          <w:vertAlign w:val="superscript"/>
        </w:rPr>
        <w:t>th</w:t>
      </w:r>
      <w:r>
        <w:rPr>
          <w:rFonts w:ascii="Arial" w:hAnsi="Arial" w:cs="Arial"/>
          <w:sz w:val="22"/>
          <w:szCs w:val="22"/>
        </w:rPr>
        <w:t>)</w:t>
      </w:r>
    </w:p>
    <w:p w:rsidR="00BB4C6F" w:rsidRDefault="00BB4C6F"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Hispanic Heritage week</w:t>
      </w:r>
      <w:r w:rsidR="004F312E">
        <w:rPr>
          <w:rFonts w:ascii="Arial" w:hAnsi="Arial" w:cs="Arial"/>
          <w:sz w:val="22"/>
          <w:szCs w:val="22"/>
        </w:rPr>
        <w:t xml:space="preserve"> - September 18-24 and the Hispanic Heritage Month – September 15 –October 15</w:t>
      </w:r>
    </w:p>
    <w:p w:rsidR="00BB4C6F" w:rsidRDefault="00BB4C6F" w:rsidP="00BD21E8">
      <w:pPr>
        <w:pStyle w:val="ListParagraph"/>
        <w:numPr>
          <w:ilvl w:val="1"/>
          <w:numId w:val="2"/>
        </w:numPr>
        <w:tabs>
          <w:tab w:val="left" w:pos="1170"/>
        </w:tabs>
        <w:rPr>
          <w:rFonts w:ascii="Arial" w:hAnsi="Arial" w:cs="Arial"/>
          <w:sz w:val="22"/>
          <w:szCs w:val="22"/>
        </w:rPr>
      </w:pPr>
      <w:r>
        <w:rPr>
          <w:rFonts w:ascii="Arial" w:hAnsi="Arial" w:cs="Arial"/>
          <w:sz w:val="22"/>
          <w:szCs w:val="22"/>
        </w:rPr>
        <w:t>Homecoming Open House (October 27</w:t>
      </w:r>
      <w:r w:rsidRPr="00BB4C6F">
        <w:rPr>
          <w:rFonts w:ascii="Arial" w:hAnsi="Arial" w:cs="Arial"/>
          <w:sz w:val="22"/>
          <w:szCs w:val="22"/>
          <w:vertAlign w:val="superscript"/>
        </w:rPr>
        <w:t>th</w:t>
      </w:r>
      <w:r>
        <w:rPr>
          <w:rFonts w:ascii="Arial" w:hAnsi="Arial" w:cs="Arial"/>
          <w:sz w:val="22"/>
          <w:szCs w:val="22"/>
        </w:rPr>
        <w:t>) – The college has been asked to host a visitation and activity between 3-5 p.m.  If you have ideas for this event, please send your suggestions to Dr. Pantula.</w:t>
      </w:r>
    </w:p>
    <w:p w:rsidR="00BB4C6F" w:rsidRPr="00227609" w:rsidRDefault="00BB4C6F" w:rsidP="00BB4C6F">
      <w:pPr>
        <w:pStyle w:val="ListParagraph"/>
        <w:tabs>
          <w:tab w:val="left" w:pos="1170"/>
        </w:tabs>
        <w:ind w:left="1800"/>
        <w:rPr>
          <w:rFonts w:ascii="Arial" w:hAnsi="Arial" w:cs="Arial"/>
          <w:sz w:val="22"/>
          <w:szCs w:val="22"/>
        </w:rPr>
      </w:pPr>
    </w:p>
    <w:sectPr w:rsidR="00BB4C6F" w:rsidRPr="00227609">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A497F"/>
    <w:rsid w:val="000E1D2E"/>
    <w:rsid w:val="0011533E"/>
    <w:rsid w:val="00221526"/>
    <w:rsid w:val="004F312E"/>
    <w:rsid w:val="005F2D75"/>
    <w:rsid w:val="006C2338"/>
    <w:rsid w:val="007431D9"/>
    <w:rsid w:val="009A1333"/>
    <w:rsid w:val="00AD2439"/>
    <w:rsid w:val="00BB4C6F"/>
    <w:rsid w:val="00BD21E8"/>
    <w:rsid w:val="00D11607"/>
    <w:rsid w:val="00EE02A2"/>
    <w:rsid w:val="00F3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David Maynard</cp:lastModifiedBy>
  <cp:revision>2</cp:revision>
  <dcterms:created xsi:type="dcterms:W3CDTF">2018-09-18T20:13:00Z</dcterms:created>
  <dcterms:modified xsi:type="dcterms:W3CDTF">2018-09-18T20:13:00Z</dcterms:modified>
</cp:coreProperties>
</file>