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65CA" w14:textId="77777777" w:rsidR="00FE16CB" w:rsidRDefault="00FE16CB" w:rsidP="00FE16CB">
      <w:pPr>
        <w:numPr>
          <w:ilvl w:val="0"/>
          <w:numId w:val="1"/>
        </w:numPr>
        <w:ind w:left="1890"/>
        <w:rPr>
          <w:lang w:val="en-CA"/>
        </w:rPr>
      </w:pPr>
      <w:r>
        <w:rPr>
          <w:lang w:val="en-CA"/>
        </w:rPr>
        <w:t>“</w:t>
      </w:r>
      <w:r w:rsidRPr="009D7BD8">
        <w:rPr>
          <w:lang w:val="en-CA"/>
        </w:rPr>
        <w:t>Debt Costs during Life Cycle of Listed Companies in the Tehran Stock Exchange</w:t>
      </w:r>
      <w:r>
        <w:rPr>
          <w:lang w:val="en-CA"/>
        </w:rPr>
        <w:t xml:space="preserve">”, With Coauthor, April 2020, </w:t>
      </w:r>
      <w:r w:rsidRPr="009D7BD8">
        <w:rPr>
          <w:u w:val="single"/>
          <w:lang w:val="en-CA"/>
        </w:rPr>
        <w:t>Asia-Pacific Management Accounting Journal</w:t>
      </w:r>
      <w:r>
        <w:rPr>
          <w:lang w:val="en-CA"/>
        </w:rPr>
        <w:t>, Volume 15, Pages 115-132.</w:t>
      </w:r>
    </w:p>
    <w:p w14:paraId="408ADC10" w14:textId="77777777" w:rsidR="00FE16CB" w:rsidRPr="003B3EC5" w:rsidRDefault="00FE16CB" w:rsidP="00FE16CB">
      <w:pPr>
        <w:ind w:left="1890"/>
        <w:rPr>
          <w:lang w:val="en-CA"/>
        </w:rPr>
      </w:pPr>
    </w:p>
    <w:p w14:paraId="2A291806" w14:textId="77777777" w:rsidR="00FE16CB" w:rsidRPr="003670F5" w:rsidRDefault="00FE16CB" w:rsidP="00FE16CB">
      <w:pPr>
        <w:numPr>
          <w:ilvl w:val="0"/>
          <w:numId w:val="1"/>
        </w:numPr>
        <w:ind w:left="1890"/>
        <w:rPr>
          <w:lang w:val="en-CA"/>
        </w:rPr>
      </w:pPr>
      <w:r w:rsidRPr="003670F5">
        <w:rPr>
          <w:lang w:val="en-CA"/>
        </w:rPr>
        <w:t>“Equity Market Response to Form 20-F disclosures for ADR firms</w:t>
      </w:r>
      <w:r>
        <w:rPr>
          <w:lang w:val="en-CA"/>
        </w:rPr>
        <w:t xml:space="preserve">”, </w:t>
      </w:r>
      <w:r>
        <w:t xml:space="preserve">with coauthor, 2017, </w:t>
      </w:r>
      <w:r w:rsidRPr="003670F5">
        <w:rPr>
          <w:u w:val="single"/>
        </w:rPr>
        <w:t>International Journal of Economics and Finance</w:t>
      </w:r>
      <w: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Vol. 9(3), pages 233-255, March.</w:t>
      </w:r>
    </w:p>
    <w:p w14:paraId="058B593A" w14:textId="77777777" w:rsidR="00FE16CB" w:rsidRPr="003670F5" w:rsidRDefault="00FE16CB" w:rsidP="00FE16CB">
      <w:pPr>
        <w:pStyle w:val="Heading"/>
        <w:spacing w:after="80"/>
        <w:ind w:left="1890"/>
        <w:rPr>
          <w:rFonts w:ascii="Times New Roman" w:hAnsi="Times New Roman"/>
          <w:b w:val="0"/>
        </w:rPr>
      </w:pPr>
    </w:p>
    <w:p w14:paraId="4DEABEA4" w14:textId="77777777" w:rsidR="00FE16CB" w:rsidRDefault="00FE16CB" w:rsidP="00FE16CB">
      <w:pPr>
        <w:numPr>
          <w:ilvl w:val="0"/>
          <w:numId w:val="1"/>
        </w:numPr>
        <w:ind w:left="1890"/>
        <w:rPr>
          <w:lang w:val="en-CA"/>
        </w:rPr>
      </w:pPr>
      <w:r w:rsidRPr="003670F5">
        <w:t>“</w:t>
      </w:r>
      <w:r>
        <w:t xml:space="preserve">Cross-Market Information Transfers of ADR firms: An Investigation of </w:t>
      </w:r>
      <w:r>
        <w:rPr>
          <w:rStyle w:val="currenthithighlight"/>
        </w:rPr>
        <w:t>Emerging</w:t>
      </w:r>
      <w:r>
        <w:t xml:space="preserve"> Market Economies”, with coauthor, 2016, </w:t>
      </w:r>
      <w:r w:rsidRPr="00810BDB">
        <w:rPr>
          <w:u w:val="single"/>
        </w:rPr>
        <w:t>Research in International Business and Finance</w:t>
      </w:r>
      <w:r>
        <w:t>, May, Volume 37, Pages: 655-677.</w:t>
      </w:r>
      <w:r>
        <w:br/>
      </w:r>
    </w:p>
    <w:p w14:paraId="41A078BD" w14:textId="77777777" w:rsidR="00FE16CB" w:rsidRPr="00810BDB" w:rsidRDefault="00FE16CB" w:rsidP="00FE16CB">
      <w:pPr>
        <w:numPr>
          <w:ilvl w:val="0"/>
          <w:numId w:val="1"/>
        </w:numPr>
        <w:ind w:left="1890"/>
        <w:rPr>
          <w:lang w:val="en-CA"/>
        </w:rPr>
      </w:pPr>
      <w:r w:rsidRPr="00810BDB">
        <w:rPr>
          <w:lang w:val="en-CA"/>
        </w:rPr>
        <w:t xml:space="preserve">“Impact of Internal Control Material Weaknesses on Executive Compensation: Evidence from Iran”, </w:t>
      </w:r>
      <w:r>
        <w:t>with coauthor,</w:t>
      </w:r>
      <w:r w:rsidRPr="00810BDB">
        <w:rPr>
          <w:lang w:val="en-CA"/>
        </w:rPr>
        <w:t xml:space="preserve"> 2016, </w:t>
      </w:r>
      <w:r w:rsidRPr="00810BDB">
        <w:rPr>
          <w:u w:val="single"/>
          <w:lang w:val="en-CA"/>
        </w:rPr>
        <w:t>International Journal of Accounting, Auditing, and Performance Evaluation</w:t>
      </w:r>
      <w:r w:rsidRPr="00810BDB">
        <w:rPr>
          <w:lang w:val="en-CA"/>
        </w:rPr>
        <w:t xml:space="preserve"> (IJAAPE), Vol. 12, No. 1, pp. 70-84.</w:t>
      </w:r>
    </w:p>
    <w:p w14:paraId="4444B85C" w14:textId="77777777" w:rsidR="00FE16CB" w:rsidRDefault="00FE16CB" w:rsidP="00FE16CB">
      <w:pPr>
        <w:pStyle w:val="BodyText2"/>
        <w:ind w:left="1890"/>
        <w:jc w:val="left"/>
      </w:pPr>
    </w:p>
    <w:p w14:paraId="1B618920" w14:textId="77777777" w:rsidR="00FE16CB" w:rsidRDefault="00FE16CB" w:rsidP="00FE16CB">
      <w:pPr>
        <w:pStyle w:val="BodyText2"/>
        <w:numPr>
          <w:ilvl w:val="0"/>
          <w:numId w:val="1"/>
        </w:numPr>
        <w:ind w:left="1890"/>
        <w:jc w:val="left"/>
      </w:pPr>
      <w:r w:rsidRPr="006D290A">
        <w:t xml:space="preserve">"Institutional Incentives and Earnings Quality: </w:t>
      </w:r>
      <w:r w:rsidRPr="006D290A">
        <w:rPr>
          <w:lang w:eastAsia="zh-CN"/>
        </w:rPr>
        <w:t>The Influence of Government Ownership in China"</w:t>
      </w:r>
      <w:r>
        <w:rPr>
          <w:lang w:eastAsia="zh-CN"/>
        </w:rPr>
        <w:t xml:space="preserve">, </w:t>
      </w:r>
      <w:r>
        <w:t>with coauthor,</w:t>
      </w:r>
      <w:r>
        <w:rPr>
          <w:lang w:eastAsia="zh-CN"/>
        </w:rPr>
        <w:t xml:space="preserve"> 2015, with coauthors</w:t>
      </w:r>
      <w:r>
        <w:t xml:space="preserve">, the </w:t>
      </w:r>
      <w:r w:rsidRPr="00810BDB">
        <w:rPr>
          <w:u w:val="single"/>
        </w:rPr>
        <w:t>Journal of Contemporary Accounting and Economics</w:t>
      </w:r>
      <w:r>
        <w:t>, Vol. 10, No. 3, pp. 248-261.</w:t>
      </w:r>
    </w:p>
    <w:p w14:paraId="07D65317" w14:textId="77777777" w:rsidR="00FE16CB" w:rsidRDefault="00FE16CB" w:rsidP="00FE16CB">
      <w:pPr>
        <w:pStyle w:val="ListParagraph"/>
        <w:ind w:left="1890"/>
        <w:rPr>
          <w:rFonts w:eastAsia="Times New Roman"/>
          <w:sz w:val="20"/>
          <w:szCs w:val="20"/>
          <w:lang w:val="en-CA"/>
        </w:rPr>
      </w:pPr>
    </w:p>
    <w:p w14:paraId="443E5141" w14:textId="77777777" w:rsidR="00FE16CB" w:rsidRPr="0089427E" w:rsidRDefault="00FE16CB" w:rsidP="00FE16CB">
      <w:pPr>
        <w:pStyle w:val="ListParagraph"/>
        <w:numPr>
          <w:ilvl w:val="0"/>
          <w:numId w:val="1"/>
        </w:numPr>
        <w:ind w:left="1890"/>
        <w:rPr>
          <w:rFonts w:eastAsia="Times New Roman"/>
          <w:sz w:val="20"/>
          <w:szCs w:val="20"/>
          <w:lang w:val="en-CA"/>
        </w:rPr>
      </w:pPr>
      <w:r w:rsidRPr="002A2277">
        <w:rPr>
          <w:rFonts w:eastAsia="Times New Roman"/>
          <w:sz w:val="20"/>
          <w:szCs w:val="20"/>
          <w:lang w:val="en-CA"/>
        </w:rPr>
        <w:t xml:space="preserve">“Impact of ADR Forms 20-F Reconciliation on Trading Volume”, with coauthors, </w:t>
      </w:r>
      <w:r>
        <w:rPr>
          <w:rFonts w:eastAsia="Times New Roman"/>
          <w:sz w:val="20"/>
          <w:szCs w:val="20"/>
          <w:lang w:val="en-CA"/>
        </w:rPr>
        <w:t xml:space="preserve">2015, </w:t>
      </w:r>
      <w:r w:rsidRPr="001D3DF4">
        <w:rPr>
          <w:rFonts w:eastAsia="Times New Roman"/>
          <w:sz w:val="20"/>
          <w:szCs w:val="20"/>
          <w:u w:val="single"/>
          <w:lang w:val="en-CA"/>
        </w:rPr>
        <w:t>International Journal of Accounting and Information Management (IJAIM</w:t>
      </w:r>
      <w:r w:rsidRPr="0089427E">
        <w:rPr>
          <w:rFonts w:eastAsia="Times New Roman"/>
          <w:sz w:val="20"/>
          <w:szCs w:val="20"/>
          <w:lang w:val="en-CA"/>
        </w:rPr>
        <w:t>)</w:t>
      </w:r>
      <w:r>
        <w:rPr>
          <w:rFonts w:eastAsia="Times New Roman"/>
          <w:sz w:val="20"/>
          <w:szCs w:val="20"/>
          <w:lang w:val="en-CA"/>
        </w:rPr>
        <w:t xml:space="preserve">, </w:t>
      </w:r>
      <w:r w:rsidRPr="0089427E">
        <w:rPr>
          <w:rFonts w:eastAsia="Times New Roman"/>
          <w:sz w:val="20"/>
          <w:szCs w:val="20"/>
          <w:lang w:val="en-CA"/>
        </w:rPr>
        <w:t>Vol. 23, No 3, pp. 253 - 270.</w:t>
      </w:r>
    </w:p>
    <w:p w14:paraId="25BFF16C" w14:textId="77777777" w:rsidR="00FE16CB" w:rsidRDefault="00FE16CB" w:rsidP="00FE16CB">
      <w:pPr>
        <w:pStyle w:val="ListParagraph"/>
        <w:ind w:left="1890"/>
        <w:rPr>
          <w:rFonts w:eastAsia="Times New Roman"/>
          <w:snapToGrid w:val="0"/>
          <w:color w:val="000000"/>
          <w:kern w:val="30"/>
          <w:sz w:val="20"/>
          <w:szCs w:val="20"/>
        </w:rPr>
      </w:pPr>
    </w:p>
    <w:p w14:paraId="4F9D88A9" w14:textId="77777777" w:rsidR="00FE16CB" w:rsidRDefault="00FE16CB" w:rsidP="00FE16CB">
      <w:pPr>
        <w:pStyle w:val="ListParagraph"/>
        <w:numPr>
          <w:ilvl w:val="0"/>
          <w:numId w:val="1"/>
        </w:numPr>
        <w:ind w:left="1890"/>
        <w:rPr>
          <w:rFonts w:eastAsia="Times New Roman"/>
          <w:snapToGrid w:val="0"/>
          <w:color w:val="000000"/>
          <w:kern w:val="30"/>
          <w:sz w:val="20"/>
          <w:szCs w:val="20"/>
        </w:rPr>
      </w:pPr>
      <w:r w:rsidRPr="002A2277">
        <w:rPr>
          <w:rFonts w:eastAsia="Times New Roman"/>
          <w:snapToGrid w:val="0"/>
          <w:color w:val="000000"/>
          <w:kern w:val="30"/>
          <w:sz w:val="20"/>
          <w:szCs w:val="20"/>
        </w:rPr>
        <w:t>“Cross Market Information Flows:  Market Reaction to ADR Accounting Principles Choice</w:t>
      </w:r>
      <w:r>
        <w:rPr>
          <w:rFonts w:eastAsia="Times New Roman"/>
          <w:snapToGrid w:val="0"/>
          <w:color w:val="000000"/>
          <w:kern w:val="30"/>
          <w:sz w:val="20"/>
          <w:szCs w:val="20"/>
        </w:rPr>
        <w:t xml:space="preserve"> and the Market Reaction to SEC Form 20-F</w:t>
      </w:r>
      <w:r w:rsidRPr="002A2277">
        <w:rPr>
          <w:rFonts w:eastAsia="Times New Roman"/>
          <w:snapToGrid w:val="0"/>
          <w:color w:val="000000"/>
          <w:kern w:val="30"/>
          <w:sz w:val="20"/>
          <w:szCs w:val="20"/>
        </w:rPr>
        <w:t xml:space="preserve">”, </w:t>
      </w:r>
      <w:r>
        <w:rPr>
          <w:rFonts w:eastAsia="Times New Roman"/>
          <w:snapToGrid w:val="0"/>
          <w:color w:val="000000"/>
          <w:kern w:val="30"/>
          <w:sz w:val="20"/>
          <w:szCs w:val="20"/>
        </w:rPr>
        <w:t xml:space="preserve">2014, </w:t>
      </w:r>
      <w:r w:rsidRPr="002A2277">
        <w:rPr>
          <w:rFonts w:eastAsia="Times New Roman"/>
          <w:snapToGrid w:val="0"/>
          <w:color w:val="000000"/>
          <w:kern w:val="30"/>
          <w:sz w:val="20"/>
          <w:szCs w:val="20"/>
        </w:rPr>
        <w:t xml:space="preserve">with coauthors, </w:t>
      </w:r>
      <w:r w:rsidRPr="002A2277">
        <w:rPr>
          <w:rFonts w:eastAsia="Times New Roman"/>
          <w:snapToGrid w:val="0"/>
          <w:color w:val="000000"/>
          <w:kern w:val="30"/>
          <w:sz w:val="20"/>
          <w:szCs w:val="20"/>
          <w:u w:val="single"/>
        </w:rPr>
        <w:t>Journal of Accounting and Finance</w:t>
      </w:r>
      <w:r w:rsidRPr="002A2277">
        <w:rPr>
          <w:rFonts w:eastAsia="Times New Roman"/>
          <w:snapToGrid w:val="0"/>
          <w:color w:val="000000"/>
          <w:kern w:val="30"/>
          <w:sz w:val="20"/>
          <w:szCs w:val="20"/>
        </w:rPr>
        <w:t xml:space="preserve">, </w:t>
      </w:r>
      <w:r>
        <w:rPr>
          <w:rFonts w:eastAsia="Times New Roman"/>
          <w:snapToGrid w:val="0"/>
          <w:color w:val="000000"/>
          <w:kern w:val="30"/>
          <w:sz w:val="20"/>
          <w:szCs w:val="20"/>
        </w:rPr>
        <w:t>Vol. 14(4), pp.24-51.</w:t>
      </w:r>
    </w:p>
    <w:p w14:paraId="69909FB9" w14:textId="77777777" w:rsidR="00FE16CB" w:rsidRDefault="00FE16CB" w:rsidP="00FE16CB">
      <w:pPr>
        <w:pStyle w:val="ListParagraph"/>
        <w:ind w:left="1890"/>
        <w:rPr>
          <w:rFonts w:eastAsia="Times New Roman"/>
          <w:snapToGrid w:val="0"/>
          <w:color w:val="000000"/>
          <w:kern w:val="30"/>
          <w:sz w:val="20"/>
          <w:szCs w:val="20"/>
        </w:rPr>
      </w:pPr>
    </w:p>
    <w:p w14:paraId="6C4C5E5C" w14:textId="77777777" w:rsidR="00FE16CB" w:rsidRPr="002A2277" w:rsidRDefault="00FE16CB" w:rsidP="00FE16CB">
      <w:pPr>
        <w:pStyle w:val="ListParagraph"/>
        <w:numPr>
          <w:ilvl w:val="0"/>
          <w:numId w:val="1"/>
        </w:numPr>
        <w:ind w:left="1890"/>
        <w:rPr>
          <w:rFonts w:eastAsia="Times New Roman"/>
          <w:sz w:val="20"/>
          <w:szCs w:val="20"/>
        </w:rPr>
      </w:pPr>
      <w:r>
        <w:rPr>
          <w:rFonts w:eastAsia="Times New Roman"/>
          <w:snapToGrid w:val="0"/>
          <w:color w:val="000000"/>
          <w:kern w:val="30"/>
          <w:sz w:val="20"/>
          <w:szCs w:val="20"/>
        </w:rPr>
        <w:t>“</w:t>
      </w:r>
      <w:r w:rsidRPr="002A2277">
        <w:rPr>
          <w:rFonts w:eastAsia="Times New Roman"/>
          <w:sz w:val="20"/>
          <w:szCs w:val="20"/>
        </w:rPr>
        <w:t xml:space="preserve">ADR Accounting Principles Choice and the Market Reaction to Form 20-F”, </w:t>
      </w:r>
      <w:r>
        <w:rPr>
          <w:rFonts w:eastAsia="Times New Roman"/>
          <w:sz w:val="20"/>
          <w:szCs w:val="20"/>
        </w:rPr>
        <w:t xml:space="preserve">2014, </w:t>
      </w:r>
      <w:r w:rsidRPr="002A2277">
        <w:rPr>
          <w:rFonts w:eastAsia="Times New Roman"/>
          <w:sz w:val="20"/>
          <w:szCs w:val="20"/>
        </w:rPr>
        <w:t xml:space="preserve">with coauthors, </w:t>
      </w:r>
      <w:r w:rsidRPr="00C82625">
        <w:rPr>
          <w:rFonts w:eastAsia="Times New Roman"/>
          <w:sz w:val="20"/>
          <w:szCs w:val="20"/>
          <w:u w:val="single"/>
        </w:rPr>
        <w:t>Journal of</w:t>
      </w:r>
      <w:r w:rsidRPr="002A2277">
        <w:rPr>
          <w:rFonts w:eastAsia="Times New Roman"/>
          <w:sz w:val="20"/>
          <w:szCs w:val="20"/>
          <w:u w:val="single"/>
        </w:rPr>
        <w:t xml:space="preserve"> Applied Business Research</w:t>
      </w:r>
      <w:r w:rsidRPr="002A2277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</w:t>
      </w:r>
      <w:r w:rsidRPr="002A2277">
        <w:rPr>
          <w:rFonts w:eastAsia="Times New Roman"/>
          <w:sz w:val="20"/>
          <w:szCs w:val="20"/>
        </w:rPr>
        <w:t>Vol</w:t>
      </w:r>
      <w:r>
        <w:rPr>
          <w:rFonts w:eastAsia="Times New Roman"/>
          <w:sz w:val="20"/>
          <w:szCs w:val="20"/>
        </w:rPr>
        <w:t>. 30 (</w:t>
      </w:r>
      <w:r w:rsidRPr="002A2277">
        <w:rPr>
          <w:rFonts w:eastAsia="Times New Roman"/>
          <w:sz w:val="20"/>
          <w:szCs w:val="20"/>
        </w:rPr>
        <w:t>2)</w:t>
      </w:r>
      <w:r>
        <w:rPr>
          <w:rFonts w:eastAsia="Times New Roman"/>
          <w:sz w:val="20"/>
          <w:szCs w:val="20"/>
        </w:rPr>
        <w:t>, pp. 453-464</w:t>
      </w:r>
      <w:r w:rsidRPr="002A2277">
        <w:rPr>
          <w:rFonts w:eastAsia="Times New Roman"/>
          <w:sz w:val="20"/>
          <w:szCs w:val="20"/>
        </w:rPr>
        <w:t>.</w:t>
      </w:r>
    </w:p>
    <w:p w14:paraId="48CCEDAD" w14:textId="77777777" w:rsidR="00FE16CB" w:rsidRDefault="00FE16CB" w:rsidP="00FE16CB">
      <w:pPr>
        <w:ind w:left="1890"/>
      </w:pPr>
    </w:p>
    <w:p w14:paraId="78C6E23B" w14:textId="77777777" w:rsidR="00FE16CB" w:rsidRDefault="00FE16CB" w:rsidP="00FE16CB">
      <w:pPr>
        <w:numPr>
          <w:ilvl w:val="0"/>
          <w:numId w:val="1"/>
        </w:numPr>
        <w:ind w:left="1890"/>
      </w:pPr>
      <w:r>
        <w:t xml:space="preserve">“Accounting Principle Choice by ADR firms and Auditor’s fees”, 2014, with coauthors, </w:t>
      </w:r>
      <w:r w:rsidRPr="002A2277">
        <w:rPr>
          <w:u w:val="single"/>
        </w:rPr>
        <w:t xml:space="preserve">International Journal of Accounting, Auditing, and Performance </w:t>
      </w:r>
      <w:proofErr w:type="gramStart"/>
      <w:r w:rsidRPr="002A2277">
        <w:rPr>
          <w:u w:val="single"/>
        </w:rPr>
        <w:t>Evaluation</w:t>
      </w:r>
      <w:r>
        <w:t>,  Vol.</w:t>
      </w:r>
      <w:proofErr w:type="gramEnd"/>
      <w:r>
        <w:t xml:space="preserve"> 10, No. 4, pp. 327-363  </w:t>
      </w:r>
    </w:p>
    <w:p w14:paraId="00E1F037" w14:textId="77777777" w:rsidR="00FE16CB" w:rsidRDefault="00FE16CB" w:rsidP="00FE16CB">
      <w:pPr>
        <w:ind w:left="1890"/>
      </w:pPr>
    </w:p>
    <w:p w14:paraId="76C92E57" w14:textId="77777777" w:rsidR="00FE16CB" w:rsidRDefault="00FE16CB" w:rsidP="00FE16CB">
      <w:pPr>
        <w:numPr>
          <w:ilvl w:val="0"/>
          <w:numId w:val="1"/>
        </w:numPr>
        <w:ind w:left="1890"/>
      </w:pPr>
      <w:r>
        <w:t xml:space="preserve"> “</w:t>
      </w:r>
      <w:r w:rsidRPr="00087C9B">
        <w:rPr>
          <w:szCs w:val="40"/>
        </w:rPr>
        <w:t>The effects of corporate governance on earnings quality: Evidence from Iran</w:t>
      </w:r>
      <w:r>
        <w:rPr>
          <w:szCs w:val="40"/>
        </w:rPr>
        <w:t xml:space="preserve">,” 2010, </w:t>
      </w:r>
      <w:r w:rsidRPr="00966ADA">
        <w:rPr>
          <w:szCs w:val="40"/>
          <w:u w:val="single"/>
        </w:rPr>
        <w:t>Asian Journal of Business and Accounting</w:t>
      </w:r>
      <w:r>
        <w:rPr>
          <w:szCs w:val="40"/>
        </w:rPr>
        <w:t>, 3(2), 101-130.</w:t>
      </w:r>
    </w:p>
    <w:p w14:paraId="1F03C0EF" w14:textId="77777777" w:rsidR="00FE16CB" w:rsidRDefault="00FE16CB" w:rsidP="00FE16CB">
      <w:pPr>
        <w:ind w:left="1890"/>
      </w:pPr>
    </w:p>
    <w:p w14:paraId="6E0D6378" w14:textId="77777777" w:rsidR="00FE16CB" w:rsidRDefault="00FE16CB" w:rsidP="00FE16CB">
      <w:pPr>
        <w:numPr>
          <w:ilvl w:val="0"/>
          <w:numId w:val="1"/>
        </w:numPr>
        <w:ind w:left="1890"/>
      </w:pPr>
      <w:r>
        <w:t xml:space="preserve">"Culture, Management Accounting and managerial Performance: Focus Iran", 2009, coauthored, </w:t>
      </w:r>
      <w:r w:rsidRPr="00AD5BC5">
        <w:rPr>
          <w:u w:val="single"/>
        </w:rPr>
        <w:t>Advances in</w:t>
      </w:r>
      <w:r>
        <w:rPr>
          <w:u w:val="single"/>
        </w:rPr>
        <w:t xml:space="preserve"> International Accounting</w:t>
      </w:r>
      <w:r>
        <w:t xml:space="preserve">, </w:t>
      </w:r>
      <w:r>
        <w:rPr>
          <w:szCs w:val="22"/>
        </w:rPr>
        <w:t>Vol. 25, Issue 2, pp.216-225.</w:t>
      </w:r>
    </w:p>
    <w:p w14:paraId="12ADD9D9" w14:textId="77777777" w:rsidR="00FE16CB" w:rsidRDefault="00FE16CB" w:rsidP="00FE16CB">
      <w:pPr>
        <w:ind w:left="1890"/>
      </w:pPr>
    </w:p>
    <w:p w14:paraId="328B18FF" w14:textId="77777777" w:rsidR="00FE16CB" w:rsidRDefault="00FE16CB" w:rsidP="00FE16CB">
      <w:pPr>
        <w:numPr>
          <w:ilvl w:val="0"/>
          <w:numId w:val="1"/>
        </w:numPr>
        <w:ind w:left="1890"/>
      </w:pPr>
      <w:r>
        <w:t xml:space="preserve">“Research Note: Corporate Governance and Firm Performance in Iran,” 2008, </w:t>
      </w:r>
      <w:proofErr w:type="spellStart"/>
      <w:r>
        <w:t>Mashayekhi</w:t>
      </w:r>
      <w:proofErr w:type="spellEnd"/>
      <w:r>
        <w:t xml:space="preserve"> and Bazaz, </w:t>
      </w:r>
      <w:r>
        <w:rPr>
          <w:u w:val="single"/>
        </w:rPr>
        <w:t>Journal of Contemporary Accounting and Economics</w:t>
      </w:r>
      <w:r>
        <w:t>, December, Vol. 4, No. 2, pp. 156-172.</w:t>
      </w:r>
    </w:p>
    <w:p w14:paraId="1D4ACD33" w14:textId="77777777" w:rsidR="00FE16CB" w:rsidRPr="00FE16CB" w:rsidRDefault="00FE16CB" w:rsidP="00FE16CB">
      <w:pPr>
        <w:pStyle w:val="Title"/>
        <w:spacing w:line="240" w:lineRule="auto"/>
        <w:ind w:left="1890"/>
        <w:jc w:val="left"/>
        <w:rPr>
          <w:b w:val="0"/>
          <w:bCs w:val="0"/>
          <w:i w:val="0"/>
          <w:iCs w:val="0"/>
          <w:emboss w:val="0"/>
          <w:snapToGrid/>
          <w:sz w:val="20"/>
          <w:szCs w:val="20"/>
        </w:rPr>
      </w:pPr>
    </w:p>
    <w:p w14:paraId="59AED9D8" w14:textId="77777777" w:rsidR="00FE16CB" w:rsidRPr="00FE16CB" w:rsidRDefault="00FE16CB" w:rsidP="00FE16CB">
      <w:pPr>
        <w:pStyle w:val="Title"/>
        <w:numPr>
          <w:ilvl w:val="0"/>
          <w:numId w:val="1"/>
        </w:numPr>
        <w:spacing w:line="240" w:lineRule="auto"/>
        <w:ind w:left="1890"/>
        <w:jc w:val="left"/>
        <w:rPr>
          <w:b w:val="0"/>
          <w:bCs w:val="0"/>
          <w:i w:val="0"/>
          <w:iCs w:val="0"/>
          <w:emboss w:val="0"/>
          <w:snapToGrid/>
          <w:sz w:val="20"/>
          <w:szCs w:val="20"/>
        </w:rPr>
      </w:pPr>
      <w:r w:rsidRPr="00FE16CB">
        <w:rPr>
          <w:b w:val="0"/>
          <w:bCs w:val="0"/>
          <w:i w:val="0"/>
          <w:iCs w:val="0"/>
          <w:emboss w:val="0"/>
          <w:snapToGrid/>
          <w:sz w:val="20"/>
          <w:szCs w:val="20"/>
        </w:rPr>
        <w:t xml:space="preserve">“The Impact of Culture on Accounting: Does Gray’s Model Apply to Iran?”, </w:t>
      </w:r>
      <w:proofErr w:type="spellStart"/>
      <w:r w:rsidRPr="00FE16CB">
        <w:rPr>
          <w:b w:val="0"/>
          <w:bCs w:val="0"/>
          <w:i w:val="0"/>
          <w:iCs w:val="0"/>
          <w:emboss w:val="0"/>
          <w:snapToGrid/>
          <w:sz w:val="20"/>
          <w:szCs w:val="20"/>
        </w:rPr>
        <w:t>Noravesh</w:t>
      </w:r>
      <w:proofErr w:type="spellEnd"/>
      <w:r w:rsidRPr="00FE16CB">
        <w:rPr>
          <w:b w:val="0"/>
          <w:bCs w:val="0"/>
          <w:i w:val="0"/>
          <w:iCs w:val="0"/>
          <w:emboss w:val="0"/>
          <w:snapToGrid/>
          <w:sz w:val="20"/>
          <w:szCs w:val="20"/>
        </w:rPr>
        <w:t xml:space="preserve">, I, Z. </w:t>
      </w:r>
      <w:proofErr w:type="spellStart"/>
      <w:r w:rsidRPr="00FE16CB">
        <w:rPr>
          <w:b w:val="0"/>
          <w:bCs w:val="0"/>
          <w:i w:val="0"/>
          <w:iCs w:val="0"/>
          <w:emboss w:val="0"/>
          <w:snapToGrid/>
          <w:sz w:val="20"/>
          <w:szCs w:val="20"/>
        </w:rPr>
        <w:t>Dianati</w:t>
      </w:r>
      <w:proofErr w:type="spellEnd"/>
      <w:r w:rsidRPr="00FE16CB">
        <w:rPr>
          <w:b w:val="0"/>
          <w:bCs w:val="0"/>
          <w:i w:val="0"/>
          <w:iCs w:val="0"/>
          <w:emboss w:val="0"/>
          <w:snapToGrid/>
          <w:sz w:val="20"/>
          <w:szCs w:val="20"/>
        </w:rPr>
        <w:t>, and M. Bazaz, Review of Accounting and Finance, 2007, Vol. 6, No. 3, pp. 254-272.</w:t>
      </w:r>
    </w:p>
    <w:p w14:paraId="23E815C7" w14:textId="77777777" w:rsidR="00FE16CB" w:rsidRDefault="00FE16CB" w:rsidP="00FE16CB">
      <w:pPr>
        <w:ind w:left="1890"/>
        <w:rPr>
          <w:bCs/>
        </w:rPr>
      </w:pPr>
    </w:p>
    <w:p w14:paraId="199832C3" w14:textId="77777777" w:rsidR="00FE16CB" w:rsidRDefault="00FE16CB" w:rsidP="00FE16CB">
      <w:pPr>
        <w:numPr>
          <w:ilvl w:val="0"/>
          <w:numId w:val="1"/>
        </w:numPr>
        <w:ind w:left="1890"/>
      </w:pPr>
      <w:r>
        <w:rPr>
          <w:bCs/>
        </w:rPr>
        <w:t xml:space="preserve">“Tests of the Incremental Explanatory Power of Auditor Qualified Opinions and Audit Firm Changes in Predicting Impending Bankruptcy,” </w:t>
      </w:r>
      <w:r>
        <w:rPr>
          <w:bCs/>
          <w:u w:val="single"/>
        </w:rPr>
        <w:t>International Journal of Accounting, Auditing, and Performance Evaluation</w:t>
      </w:r>
      <w:r>
        <w:rPr>
          <w:bCs/>
        </w:rPr>
        <w:t xml:space="preserve">, 2006, Volume 3, No. 4, pp. 434-451. </w:t>
      </w:r>
    </w:p>
    <w:p w14:paraId="7EE0108B" w14:textId="77777777" w:rsidR="00FE16CB" w:rsidRDefault="00FE16CB" w:rsidP="00FE16CB">
      <w:pPr>
        <w:ind w:left="1890"/>
      </w:pPr>
    </w:p>
    <w:p w14:paraId="74E79D0E" w14:textId="77777777" w:rsidR="00FE16CB" w:rsidRDefault="00FE16CB" w:rsidP="00FE16CB">
      <w:pPr>
        <w:numPr>
          <w:ilvl w:val="0"/>
          <w:numId w:val="1"/>
        </w:numPr>
        <w:ind w:left="1890"/>
      </w:pPr>
      <w:r>
        <w:t xml:space="preserve"> “Gaps in GAAP on Consolidation Policies and Procedures: Case of Minority (non-Controlling) Interest</w:t>
      </w:r>
      <w:proofErr w:type="gramStart"/>
      <w:r>
        <w:t>",  Mohammad</w:t>
      </w:r>
      <w:proofErr w:type="gramEnd"/>
      <w:r>
        <w:t xml:space="preserve"> S. Bazaz, </w:t>
      </w:r>
      <w:proofErr w:type="spellStart"/>
      <w:r>
        <w:t>Trimbak</w:t>
      </w:r>
      <w:proofErr w:type="spellEnd"/>
      <w:r>
        <w:t xml:space="preserve"> Shastri, </w:t>
      </w:r>
      <w:r>
        <w:rPr>
          <w:u w:val="single"/>
        </w:rPr>
        <w:t>Alliance Journal of Business Research</w:t>
      </w:r>
      <w:r>
        <w:t>, V.1, No. 2, November 2006, pp.91-106.</w:t>
      </w:r>
    </w:p>
    <w:p w14:paraId="748105F6" w14:textId="77777777" w:rsidR="00FE16CB" w:rsidRDefault="00FE16CB" w:rsidP="00FE16CB">
      <w:pPr>
        <w:ind w:left="1890"/>
        <w:rPr>
          <w:szCs w:val="28"/>
        </w:rPr>
      </w:pPr>
    </w:p>
    <w:p w14:paraId="14CEB385" w14:textId="77777777" w:rsidR="00FE16CB" w:rsidRDefault="00FE16CB" w:rsidP="00FE16CB">
      <w:pPr>
        <w:numPr>
          <w:ilvl w:val="0"/>
          <w:numId w:val="1"/>
        </w:numPr>
        <w:ind w:left="1890"/>
        <w:rPr>
          <w:szCs w:val="28"/>
        </w:rPr>
      </w:pPr>
      <w:r>
        <w:rPr>
          <w:szCs w:val="28"/>
        </w:rPr>
        <w:lastRenderedPageBreak/>
        <w:t xml:space="preserve">“The Differential Effect of Directional Unexpected Earnings and Post-Earnings Announcement Drift Behavior:  Implications </w:t>
      </w:r>
      <w:proofErr w:type="gramStart"/>
      <w:r>
        <w:rPr>
          <w:szCs w:val="28"/>
        </w:rPr>
        <w:t>For</w:t>
      </w:r>
      <w:proofErr w:type="gramEnd"/>
      <w:r>
        <w:rPr>
          <w:szCs w:val="28"/>
        </w:rPr>
        <w:t xml:space="preserve"> Drift, Reversal, and Security Return Volatility”, Senteney, David, Hua Gao, and Mohammad S. Bazaz, </w:t>
      </w:r>
      <w:r>
        <w:rPr>
          <w:szCs w:val="28"/>
          <w:u w:val="single"/>
        </w:rPr>
        <w:t>Journal of International Accounting, Auditing and Performance Evaluation (IJAAPE)</w:t>
      </w:r>
      <w:r>
        <w:rPr>
          <w:szCs w:val="28"/>
        </w:rPr>
        <w:t>, V. 1, No. 2, 2004, pp.143-163.</w:t>
      </w:r>
    </w:p>
    <w:p w14:paraId="58C9A040" w14:textId="77777777" w:rsidR="00FE16CB" w:rsidRDefault="00FE16CB" w:rsidP="00FE16CB">
      <w:pPr>
        <w:ind w:left="1890"/>
        <w:rPr>
          <w:szCs w:val="28"/>
        </w:rPr>
      </w:pPr>
    </w:p>
    <w:p w14:paraId="4A159429" w14:textId="77777777" w:rsidR="00FE16CB" w:rsidRDefault="00FE16CB" w:rsidP="00FE16CB">
      <w:pPr>
        <w:numPr>
          <w:ilvl w:val="0"/>
          <w:numId w:val="1"/>
        </w:numPr>
        <w:ind w:left="1890"/>
        <w:rPr>
          <w:b/>
          <w:bCs/>
          <w:szCs w:val="28"/>
        </w:rPr>
      </w:pPr>
      <w:r>
        <w:rPr>
          <w:szCs w:val="28"/>
        </w:rPr>
        <w:t xml:space="preserve">“Assessing Currency Exchange Rate Exposure Using Geographic Segment Disclosures: The Impact of Currency Specific Type and Degree of Exposure”, Senteney, David, Mohammad s. Bazaz, and Ali </w:t>
      </w:r>
      <w:proofErr w:type="spellStart"/>
      <w:proofErr w:type="gramStart"/>
      <w:r>
        <w:rPr>
          <w:szCs w:val="28"/>
        </w:rPr>
        <w:t>Peyvandy</w:t>
      </w:r>
      <w:proofErr w:type="spellEnd"/>
      <w:r>
        <w:rPr>
          <w:szCs w:val="28"/>
          <w:u w:val="single"/>
        </w:rPr>
        <w:t>,  Advances</w:t>
      </w:r>
      <w:proofErr w:type="gramEnd"/>
      <w:r>
        <w:rPr>
          <w:szCs w:val="28"/>
          <w:u w:val="single"/>
        </w:rPr>
        <w:t xml:space="preserve"> in International Accounting</w:t>
      </w:r>
      <w:r>
        <w:rPr>
          <w:szCs w:val="28"/>
        </w:rPr>
        <w:t>,  2003, Vol. 16, pp.139-152.</w:t>
      </w:r>
    </w:p>
    <w:p w14:paraId="38E1CBBA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49516873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“The Impact of Geographic and Business Segment Diversification Upon Investor’s Perceptions of Earnings of U.S. Based Multinational Enterprises”, Senteney, D., S. </w:t>
      </w:r>
      <w:proofErr w:type="spellStart"/>
      <w:r>
        <w:rPr>
          <w:rFonts w:ascii="Times New Roman" w:hAnsi="Times New Roman"/>
        </w:rPr>
        <w:t>Mugan</w:t>
      </w:r>
      <w:proofErr w:type="spellEnd"/>
      <w:r>
        <w:rPr>
          <w:rFonts w:ascii="Times New Roman" w:hAnsi="Times New Roman"/>
        </w:rPr>
        <w:t xml:space="preserve">, and M. Bazaz, </w:t>
      </w:r>
      <w:r>
        <w:rPr>
          <w:rFonts w:ascii="Times New Roman" w:hAnsi="Times New Roman"/>
          <w:u w:val="single"/>
        </w:rPr>
        <w:t>Review of Accounting &amp; Finance</w:t>
      </w:r>
      <w:r>
        <w:rPr>
          <w:rFonts w:ascii="Times New Roman" w:hAnsi="Times New Roman"/>
        </w:rPr>
        <w:t>, 2002, Vo. 1, No. 2, pp.71-86.</w:t>
      </w:r>
    </w:p>
    <w:p w14:paraId="5320E15D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2F72819B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“Value Relevance of Unrealized Translation Gains and Losses,” M. Bazaz, and D. Senteney, </w:t>
      </w:r>
      <w:r>
        <w:rPr>
          <w:rFonts w:ascii="Times New Roman" w:hAnsi="Times New Roman"/>
          <w:u w:val="single"/>
        </w:rPr>
        <w:t>The MidAmerican Journal of Business</w:t>
      </w:r>
      <w:r>
        <w:rPr>
          <w:rFonts w:ascii="Times New Roman" w:hAnsi="Times New Roman"/>
        </w:rPr>
        <w:t>, Fall 2001, Vol.16, No.2, pp. 55-62.</w:t>
      </w:r>
    </w:p>
    <w:p w14:paraId="56E2E276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5916A9D3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>“The Market Reaction Associated with SFAS No. 8 and SFAS No. 52</w:t>
      </w:r>
      <w:proofErr w:type="gramStart"/>
      <w:r>
        <w:rPr>
          <w:rFonts w:ascii="Times New Roman" w:hAnsi="Times New Roman"/>
        </w:rPr>
        <w:t>”,  M.</w:t>
      </w:r>
      <w:proofErr w:type="gramEnd"/>
      <w:r>
        <w:rPr>
          <w:rFonts w:ascii="Times New Roman" w:hAnsi="Times New Roman"/>
        </w:rPr>
        <w:t xml:space="preserve"> Bazaz and D. Senteney, </w:t>
      </w:r>
      <w:r>
        <w:rPr>
          <w:rFonts w:ascii="Times New Roman" w:hAnsi="Times New Roman"/>
          <w:u w:val="single"/>
        </w:rPr>
        <w:t>Global Finance Journal</w:t>
      </w:r>
      <w:r>
        <w:rPr>
          <w:rFonts w:ascii="Times New Roman" w:hAnsi="Times New Roman"/>
        </w:rPr>
        <w:t>, Forthcoming.</w:t>
      </w:r>
    </w:p>
    <w:p w14:paraId="557DDF24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58E63999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“Cash Flow and Accrual Uncertainty and Variation in Earnings Response Coefficients,” Bazaz and Senteney, </w:t>
      </w:r>
      <w:r>
        <w:rPr>
          <w:rFonts w:ascii="Times New Roman" w:hAnsi="Times New Roman"/>
          <w:u w:val="single"/>
        </w:rPr>
        <w:t>Iranian Accounting and Auditing Review</w:t>
      </w:r>
      <w:r>
        <w:rPr>
          <w:rFonts w:ascii="Times New Roman" w:hAnsi="Times New Roman"/>
        </w:rPr>
        <w:t>, Autumn 1999, Vol. 9, No. 29, pp.78-121.</w:t>
      </w:r>
    </w:p>
    <w:p w14:paraId="133C9467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1615E386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“Currency Exchange Rate Exposure of U.S.-Based Multinational Corporations: The Usefulness of SFAS No. 14, Geographic Segment Disclosures” Bazaz, Senteney, and Sharp, </w:t>
      </w:r>
      <w:r>
        <w:rPr>
          <w:rFonts w:ascii="Times New Roman" w:hAnsi="Times New Roman"/>
          <w:u w:val="single"/>
        </w:rPr>
        <w:t>Advances in International Accounting</w:t>
      </w:r>
      <w:r>
        <w:rPr>
          <w:rFonts w:ascii="Times New Roman" w:hAnsi="Times New Roman"/>
        </w:rPr>
        <w:t>, Vol. 10, 1997, pp.1-26.</w:t>
      </w:r>
    </w:p>
    <w:p w14:paraId="60C656AE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33F84A99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Impact of Accounting Regulatory Events Upon Earning Response Coefficients: The Case of SFAS No. 8 and SFAS No. 14," Bazaz and Senteney, </w:t>
      </w:r>
      <w:r>
        <w:rPr>
          <w:rFonts w:ascii="Times New Roman" w:hAnsi="Times New Roman"/>
          <w:u w:val="single"/>
        </w:rPr>
        <w:t>Asia-Pacific Journal of Accounting</w:t>
      </w:r>
      <w:r>
        <w:rPr>
          <w:rFonts w:ascii="Times New Roman" w:hAnsi="Times New Roman"/>
        </w:rPr>
        <w:t>, December 1996, Vol. 3, No. 2, pp. 219-238.</w:t>
      </w:r>
    </w:p>
    <w:p w14:paraId="57528CF2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14F6170E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New Approach to the Problem of Harmonizing International Accounting reports," M. Bazaz and R. Parameswaran, </w:t>
      </w:r>
      <w:r>
        <w:rPr>
          <w:rFonts w:ascii="Times New Roman" w:hAnsi="Times New Roman"/>
          <w:u w:val="single"/>
        </w:rPr>
        <w:t>Global Financial Journal</w:t>
      </w:r>
      <w:r>
        <w:rPr>
          <w:rFonts w:ascii="Times New Roman" w:hAnsi="Times New Roman"/>
        </w:rPr>
        <w:t xml:space="preserve">, Fall </w:t>
      </w:r>
      <w:proofErr w:type="gramStart"/>
      <w:r>
        <w:rPr>
          <w:rFonts w:ascii="Times New Roman" w:hAnsi="Times New Roman"/>
        </w:rPr>
        <w:t>1995,Vol.</w:t>
      </w:r>
      <w:proofErr w:type="gramEnd"/>
      <w:r>
        <w:rPr>
          <w:rFonts w:ascii="Times New Roman" w:hAnsi="Times New Roman"/>
        </w:rPr>
        <w:t xml:space="preserve"> 6, No2, pp.155-174.</w:t>
      </w:r>
    </w:p>
    <w:p w14:paraId="3FDF2038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6DE3DDA8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Impact of SFAS No. 8, Translation Procedures upon the Equity Security Price Response to U.S. Based MNE's Earnings News", Bazaz and Senteney, </w:t>
      </w:r>
      <w:r>
        <w:rPr>
          <w:rFonts w:ascii="Times New Roman" w:hAnsi="Times New Roman"/>
          <w:u w:val="single"/>
        </w:rPr>
        <w:t>Advances in International Accounting</w:t>
      </w:r>
      <w:r>
        <w:rPr>
          <w:rFonts w:ascii="Times New Roman" w:hAnsi="Times New Roman"/>
        </w:rPr>
        <w:t xml:space="preserve">, 1995, Vol. 8, pp.51-65. </w:t>
      </w:r>
    </w:p>
    <w:p w14:paraId="59BB63A6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04EACD9F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"Do Investor Relations Make a Difference?", E. </w:t>
      </w:r>
      <w:proofErr w:type="spellStart"/>
      <w:r>
        <w:rPr>
          <w:rFonts w:ascii="Times New Roman" w:hAnsi="Times New Roman"/>
        </w:rPr>
        <w:t>Farragher</w:t>
      </w:r>
      <w:proofErr w:type="spellEnd"/>
      <w:r>
        <w:rPr>
          <w:rFonts w:ascii="Times New Roman" w:hAnsi="Times New Roman"/>
        </w:rPr>
        <w:t xml:space="preserve">, R. Kleiman, and M. Bazaz, </w:t>
      </w:r>
      <w:r>
        <w:rPr>
          <w:rFonts w:ascii="Times New Roman" w:hAnsi="Times New Roman"/>
          <w:u w:val="single"/>
        </w:rPr>
        <w:t>The Quarterly Review of Economics and finance,</w:t>
      </w:r>
      <w:r>
        <w:rPr>
          <w:rFonts w:ascii="Times New Roman" w:hAnsi="Times New Roman"/>
        </w:rPr>
        <w:t xml:space="preserve"> Winter 1994, Vol. 34, No. 4, pp. 403-412.</w:t>
      </w:r>
    </w:p>
    <w:p w14:paraId="3EDEF8F8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0B022261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Adjustment of Security Prices to Earnings: The Case of SFAS No. 14", Senteney and Bazaz, </w:t>
      </w:r>
      <w:r>
        <w:rPr>
          <w:rFonts w:ascii="Times New Roman" w:hAnsi="Times New Roman"/>
          <w:u w:val="single"/>
        </w:rPr>
        <w:t>Journal of Business and Economic Perspectives</w:t>
      </w:r>
      <w:r>
        <w:rPr>
          <w:rFonts w:ascii="Times New Roman" w:hAnsi="Times New Roman"/>
        </w:rPr>
        <w:t>, Spring 1994.</w:t>
      </w:r>
    </w:p>
    <w:p w14:paraId="6BEDA65F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17148120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“Investor Relations”, E. </w:t>
      </w:r>
      <w:proofErr w:type="spellStart"/>
      <w:r>
        <w:rPr>
          <w:rFonts w:ascii="Times New Roman" w:hAnsi="Times New Roman"/>
        </w:rPr>
        <w:t>Farragher</w:t>
      </w:r>
      <w:proofErr w:type="spellEnd"/>
      <w:r>
        <w:rPr>
          <w:rFonts w:ascii="Times New Roman" w:hAnsi="Times New Roman"/>
        </w:rPr>
        <w:t xml:space="preserve">, R. Kleiman, and M. Bazaz, </w:t>
      </w:r>
      <w:r>
        <w:rPr>
          <w:rFonts w:ascii="Times New Roman" w:hAnsi="Times New Roman"/>
          <w:u w:val="single"/>
        </w:rPr>
        <w:t>Financial Management</w:t>
      </w:r>
      <w:r>
        <w:rPr>
          <w:rFonts w:ascii="Times New Roman" w:hAnsi="Times New Roman"/>
        </w:rPr>
        <w:t>, Summer, 1993, Vol. 22, No. 2, pp.21.</w:t>
      </w:r>
    </w:p>
    <w:p w14:paraId="08AA70C9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0DB57F6D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"Use of Expert Systems in Harmonizing International Accounting Reports," M. Bazaz and R. Parameswaran, </w:t>
      </w:r>
      <w:r>
        <w:rPr>
          <w:rFonts w:ascii="Times New Roman" w:hAnsi="Times New Roman"/>
          <w:u w:val="single"/>
        </w:rPr>
        <w:t>Journal of International Information Management</w:t>
      </w:r>
      <w:r>
        <w:rPr>
          <w:rFonts w:ascii="Times New Roman" w:hAnsi="Times New Roman"/>
        </w:rPr>
        <w:t>, Vol.2, No.1, Spring 1993.</w:t>
      </w:r>
    </w:p>
    <w:p w14:paraId="06E6391D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4929D012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"How Should International Accounting be </w:t>
      </w:r>
      <w:proofErr w:type="gramStart"/>
      <w:r>
        <w:rPr>
          <w:rFonts w:ascii="Times New Roman" w:hAnsi="Times New Roman"/>
        </w:rPr>
        <w:t>taught?,</w:t>
      </w:r>
      <w:proofErr w:type="gramEnd"/>
      <w:r>
        <w:rPr>
          <w:rFonts w:ascii="Times New Roman" w:hAnsi="Times New Roman"/>
        </w:rPr>
        <w:t xml:space="preserve"> Insights from the International Business Discipline", M. Bazaz and R. Parameswaran, </w:t>
      </w:r>
      <w:r>
        <w:rPr>
          <w:rFonts w:ascii="Times New Roman" w:hAnsi="Times New Roman"/>
          <w:u w:val="single"/>
        </w:rPr>
        <w:t>Journal of Teaching in International Business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lastRenderedPageBreak/>
        <w:t>1994, Vol. 5, No. 4, pp. 51-68.</w:t>
      </w:r>
    </w:p>
    <w:p w14:paraId="642027C4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40A27341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"Comprehensive Measurement of Foreign Income: The Case of SFAS No. 52", Callaghan and Bazaz, </w:t>
      </w:r>
      <w:r>
        <w:rPr>
          <w:rFonts w:ascii="Times New Roman" w:hAnsi="Times New Roman"/>
          <w:u w:val="single"/>
        </w:rPr>
        <w:t>The International Journal of Accounting</w:t>
      </w:r>
      <w:r>
        <w:rPr>
          <w:rFonts w:ascii="Times New Roman" w:hAnsi="Times New Roman"/>
        </w:rPr>
        <w:t>, 1992, Vol. 27, No. 3, pp. 80-87.</w:t>
      </w:r>
    </w:p>
    <w:p w14:paraId="332C516A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463C3051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"More Empirical Evidence on the Usefulness of Current Cost Data", A. Murphy and M. Bazaz, </w:t>
      </w:r>
      <w:r>
        <w:rPr>
          <w:rFonts w:ascii="Times New Roman" w:hAnsi="Times New Roman"/>
          <w:u w:val="single"/>
        </w:rPr>
        <w:t>Southern Business and Economic Journal</w:t>
      </w:r>
      <w:r>
        <w:rPr>
          <w:rFonts w:ascii="Times New Roman" w:hAnsi="Times New Roman"/>
        </w:rPr>
        <w:t xml:space="preserve">, April 1992, Vol. 15, No, pp. 147-153. </w:t>
      </w:r>
    </w:p>
    <w:p w14:paraId="0E1660FB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0B933097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Impact of SFAS 14 Geographic Segment Disclosures on the Information Content of U.S.-Based MNEs' Earnings Releases", D. Senteney and M. Bazaz, </w:t>
      </w:r>
      <w:r>
        <w:rPr>
          <w:rFonts w:ascii="Times New Roman" w:hAnsi="Times New Roman"/>
          <w:u w:val="single"/>
        </w:rPr>
        <w:t>The International Journal of Accounting</w:t>
      </w:r>
      <w:r>
        <w:rPr>
          <w:rFonts w:ascii="Times New Roman" w:hAnsi="Times New Roman"/>
        </w:rPr>
        <w:t>, Vol. 27, No. 4, 1992, pp. 267-279.</w:t>
      </w:r>
    </w:p>
    <w:p w14:paraId="28BBB533" w14:textId="77777777" w:rsidR="00FE16CB" w:rsidRDefault="00FE16CB" w:rsidP="00FE16CB">
      <w:pPr>
        <w:pStyle w:val="BodyText"/>
        <w:ind w:left="1890" w:firstLine="720"/>
        <w:rPr>
          <w:rFonts w:ascii="Times New Roman" w:hAnsi="Times New Roman"/>
        </w:rPr>
      </w:pPr>
    </w:p>
    <w:p w14:paraId="44231CAD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"Accounting Consolidation", T. Shastri, M. Zin, and M. Bazaz, </w:t>
      </w:r>
      <w:r>
        <w:rPr>
          <w:rFonts w:ascii="Times New Roman" w:hAnsi="Times New Roman"/>
          <w:u w:val="single"/>
        </w:rPr>
        <w:t>CGA Magazine</w:t>
      </w:r>
      <w:r>
        <w:rPr>
          <w:rFonts w:ascii="Times New Roman" w:hAnsi="Times New Roman"/>
        </w:rPr>
        <w:t>, June 1992, Vol. 26, No. 6, pp.40-45.</w:t>
      </w:r>
    </w:p>
    <w:p w14:paraId="120FE6B4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0712304E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"Identification of Tasks for Expert Systems Development in Auditing," M. </w:t>
      </w:r>
      <w:proofErr w:type="spellStart"/>
      <w:r>
        <w:rPr>
          <w:rFonts w:ascii="Times New Roman" w:hAnsi="Times New Roman"/>
        </w:rPr>
        <w:t>Abdolmohammadi</w:t>
      </w:r>
      <w:proofErr w:type="spellEnd"/>
      <w:r>
        <w:rPr>
          <w:rFonts w:ascii="Times New Roman" w:hAnsi="Times New Roman"/>
        </w:rPr>
        <w:t xml:space="preserve"> and M. Bazaz, </w:t>
      </w:r>
      <w:r>
        <w:rPr>
          <w:rFonts w:ascii="Times New Roman" w:hAnsi="Times New Roman"/>
          <w:u w:val="single"/>
        </w:rPr>
        <w:t>Expert Systems with Applications: An International Journal</w:t>
      </w:r>
      <w:r>
        <w:rPr>
          <w:rFonts w:ascii="Times New Roman" w:hAnsi="Times New Roman"/>
        </w:rPr>
        <w:t>, 1991, V. 3, pp. 99-107.</w:t>
      </w:r>
    </w:p>
    <w:p w14:paraId="5FD3DA8E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5D745898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Effect of SFAS No. 94 of Firms' Consolidated Financial Statements", </w:t>
      </w:r>
      <w:proofErr w:type="spellStart"/>
      <w:r>
        <w:rPr>
          <w:rFonts w:ascii="Times New Roman" w:hAnsi="Times New Roman"/>
        </w:rPr>
        <w:t>Rezaee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Hossinie</w:t>
      </w:r>
      <w:proofErr w:type="spellEnd"/>
      <w:r>
        <w:rPr>
          <w:rFonts w:ascii="Times New Roman" w:hAnsi="Times New Roman"/>
        </w:rPr>
        <w:t xml:space="preserve">, and Bazaz, </w:t>
      </w:r>
      <w:r>
        <w:rPr>
          <w:rFonts w:ascii="Times New Roman" w:hAnsi="Times New Roman"/>
          <w:u w:val="single"/>
        </w:rPr>
        <w:t>The Worldwide Journal of Accounting, Business, and Education</w:t>
      </w:r>
      <w:r>
        <w:rPr>
          <w:rFonts w:ascii="Times New Roman" w:hAnsi="Times New Roman"/>
        </w:rPr>
        <w:t xml:space="preserve">, Summer 1991, V. 1, No.1, pp.1-13.   </w:t>
      </w:r>
    </w:p>
    <w:p w14:paraId="5377A558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300F10EA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>"Amortization Initial Direct Costs of Capital Leases: Match or Miss-</w:t>
      </w:r>
      <w:proofErr w:type="gramStart"/>
      <w:r>
        <w:rPr>
          <w:rFonts w:ascii="Times New Roman" w:hAnsi="Times New Roman"/>
        </w:rPr>
        <w:t>match?,</w:t>
      </w:r>
      <w:proofErr w:type="gramEnd"/>
      <w:r>
        <w:rPr>
          <w:rFonts w:ascii="Times New Roman" w:hAnsi="Times New Roman"/>
        </w:rPr>
        <w:t xml:space="preserve">" M. Bazaz and G. Dillon, </w:t>
      </w:r>
      <w:r>
        <w:rPr>
          <w:rFonts w:ascii="Times New Roman" w:hAnsi="Times New Roman"/>
          <w:u w:val="single"/>
        </w:rPr>
        <w:t>Journal of Applied Business research</w:t>
      </w:r>
      <w:r>
        <w:rPr>
          <w:rFonts w:ascii="Times New Roman" w:hAnsi="Times New Roman"/>
        </w:rPr>
        <w:t>, Winter 1990-91, V. 7, No. 1, pp. 106-111.</w:t>
      </w:r>
    </w:p>
    <w:p w14:paraId="4D08A2B8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5F575225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Further Analysis of the Relationships Between Advertising, Sales, and Profitability,” </w:t>
      </w:r>
      <w:proofErr w:type="spellStart"/>
      <w:r>
        <w:rPr>
          <w:rFonts w:ascii="Times New Roman" w:hAnsi="Times New Roman"/>
        </w:rPr>
        <w:t>Stano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Folland</w:t>
      </w:r>
      <w:proofErr w:type="spellEnd"/>
      <w:r>
        <w:rPr>
          <w:rFonts w:ascii="Times New Roman" w:hAnsi="Times New Roman"/>
        </w:rPr>
        <w:t xml:space="preserve">, Moon, and Bazaz, </w:t>
      </w:r>
      <w:r>
        <w:rPr>
          <w:rFonts w:ascii="Times New Roman" w:hAnsi="Times New Roman"/>
          <w:u w:val="single"/>
        </w:rPr>
        <w:t>Journal of Midwest Marketing</w:t>
      </w:r>
      <w:r>
        <w:rPr>
          <w:rFonts w:ascii="Times New Roman" w:hAnsi="Times New Roman"/>
        </w:rPr>
        <w:t xml:space="preserve">, Volume 5, Spring 1990, pp.21-28. </w:t>
      </w:r>
    </w:p>
    <w:p w14:paraId="33F74576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3030888D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"Importance of Accounting Rules for Bank Cost Accountants", M. Bazaz, and Z.  </w:t>
      </w:r>
      <w:proofErr w:type="spellStart"/>
      <w:r>
        <w:rPr>
          <w:rFonts w:ascii="Times New Roman" w:hAnsi="Times New Roman"/>
        </w:rPr>
        <w:t>Rezaee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>Journal of Bank Cost &amp; Management Accounting</w:t>
      </w:r>
      <w:r>
        <w:rPr>
          <w:rFonts w:ascii="Times New Roman" w:hAnsi="Times New Roman"/>
        </w:rPr>
        <w:t>, 199. Vol. 3, No. 2, pp. 29-38.</w:t>
      </w:r>
    </w:p>
    <w:p w14:paraId="50F3440A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1F862407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Impact of Statement No. 91 on Financial Reports of Financial Institutions," Z. </w:t>
      </w:r>
      <w:proofErr w:type="spellStart"/>
      <w:r>
        <w:rPr>
          <w:rFonts w:ascii="Times New Roman" w:hAnsi="Times New Roman"/>
        </w:rPr>
        <w:t>Rezaee</w:t>
      </w:r>
      <w:proofErr w:type="spellEnd"/>
      <w:r>
        <w:rPr>
          <w:rFonts w:ascii="Times New Roman" w:hAnsi="Times New Roman"/>
        </w:rPr>
        <w:t xml:space="preserve"> and M. Bazaz, </w:t>
      </w:r>
      <w:r>
        <w:rPr>
          <w:rFonts w:ascii="Times New Roman" w:hAnsi="Times New Roman"/>
          <w:u w:val="single"/>
        </w:rPr>
        <w:t>Journal of Applied Business Research</w:t>
      </w:r>
      <w:r>
        <w:rPr>
          <w:rFonts w:ascii="Times New Roman" w:hAnsi="Times New Roman"/>
        </w:rPr>
        <w:t xml:space="preserve">, Summer 1990, V. 6, No. 3, pp. 112-118. </w:t>
      </w:r>
    </w:p>
    <w:p w14:paraId="7820E5B3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2118F6F8" w14:textId="77777777" w:rsidR="00FE16CB" w:rsidRDefault="00FE16CB" w:rsidP="00FE16CB">
      <w:pPr>
        <w:pStyle w:val="BodyText"/>
        <w:numPr>
          <w:ilvl w:val="0"/>
          <w:numId w:val="1"/>
        </w:numPr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Note to the Relationship between Advertising and Sales,” </w:t>
      </w:r>
      <w:r>
        <w:rPr>
          <w:rFonts w:ascii="Times New Roman" w:hAnsi="Times New Roman"/>
          <w:u w:val="single"/>
        </w:rPr>
        <w:t>Developments in Marketing Science</w:t>
      </w:r>
      <w:r>
        <w:rPr>
          <w:rFonts w:ascii="Times New Roman" w:hAnsi="Times New Roman"/>
        </w:rPr>
        <w:t xml:space="preserve">, S. Moon, </w:t>
      </w:r>
      <w:proofErr w:type="spellStart"/>
      <w:proofErr w:type="gramStart"/>
      <w:r>
        <w:rPr>
          <w:rFonts w:ascii="Times New Roman" w:hAnsi="Times New Roman"/>
        </w:rPr>
        <w:t>M.Stano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S.Foland</w:t>
      </w:r>
      <w:proofErr w:type="spellEnd"/>
      <w:r>
        <w:rPr>
          <w:rFonts w:ascii="Times New Roman" w:hAnsi="Times New Roman"/>
        </w:rPr>
        <w:t>, and M. Bazaz, Volume XII, 1989.</w:t>
      </w:r>
    </w:p>
    <w:p w14:paraId="55C75425" w14:textId="77777777" w:rsidR="00FE16CB" w:rsidRDefault="00FE16CB" w:rsidP="00FE16CB">
      <w:pPr>
        <w:pStyle w:val="BodyText"/>
        <w:ind w:left="1890"/>
        <w:rPr>
          <w:rFonts w:ascii="Times New Roman" w:hAnsi="Times New Roman"/>
        </w:rPr>
      </w:pPr>
    </w:p>
    <w:p w14:paraId="5AF3F74A" w14:textId="77777777" w:rsidR="00FE16CB" w:rsidRDefault="00FE16CB" w:rsidP="00FE16CB">
      <w:pPr>
        <w:pStyle w:val="BodyText"/>
        <w:numPr>
          <w:ilvl w:val="0"/>
          <w:numId w:val="1"/>
        </w:numPr>
        <w:ind w:left="1890"/>
      </w:pPr>
      <w:r>
        <w:t xml:space="preserve">"Accounting Regulation and Research and Development Expenditures: An Equilibrium Effect," M. </w:t>
      </w:r>
      <w:proofErr w:type="gramStart"/>
      <w:r>
        <w:t>Bazaz,  F.</w:t>
      </w:r>
      <w:proofErr w:type="gramEnd"/>
      <w:r>
        <w:t xml:space="preserve"> Ayres, and P. Harsha, </w:t>
      </w:r>
      <w:r>
        <w:rPr>
          <w:u w:val="single"/>
        </w:rPr>
        <w:t>Research in Accounting Regulation</w:t>
      </w:r>
      <w:r>
        <w:t>, 1989, Volume 3, pp 4-14.</w:t>
      </w:r>
    </w:p>
    <w:p w14:paraId="5C62C8A5" w14:textId="77777777" w:rsidR="00FE16CB" w:rsidRDefault="00FE16CB" w:rsidP="00FE16CB">
      <w:pPr>
        <w:pStyle w:val="BodyText"/>
      </w:pPr>
    </w:p>
    <w:p w14:paraId="54B837F5" w14:textId="77777777" w:rsidR="00FE16CB" w:rsidRDefault="00FE16CB" w:rsidP="00FE16CB">
      <w:pPr>
        <w:pStyle w:val="BodyText"/>
      </w:pPr>
    </w:p>
    <w:p w14:paraId="322583EA" w14:textId="77777777" w:rsidR="00121389" w:rsidRDefault="00121389"/>
    <w:sectPr w:rsidR="0012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46029"/>
    <w:multiLevelType w:val="hybridMultilevel"/>
    <w:tmpl w:val="2390A8B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CB"/>
    <w:rsid w:val="00121389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FA6E"/>
  <w15:chartTrackingRefBased/>
  <w15:docId w15:val="{A6820432-EE86-4FE4-AA5E-B5D64CE8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rsid w:val="00FE16CB"/>
    <w:pPr>
      <w:widowControl w:val="0"/>
      <w:spacing w:after="0" w:line="180" w:lineRule="exact"/>
    </w:pPr>
    <w:rPr>
      <w:rFonts w:ascii="Rockwell Extra Bold" w:eastAsia="Times New Roman" w:hAnsi="Rockwell Extra Bold" w:cs="Times New Roman"/>
      <w:b/>
      <w:snapToGrid w:val="0"/>
      <w:color w:val="000000"/>
      <w:spacing w:val="20"/>
      <w:kern w:val="30"/>
      <w:sz w:val="18"/>
      <w:szCs w:val="20"/>
    </w:rPr>
  </w:style>
  <w:style w:type="paragraph" w:styleId="BodyText">
    <w:name w:val="Body Text"/>
    <w:basedOn w:val="Normal"/>
    <w:link w:val="BodyTextChar"/>
    <w:semiHidden/>
    <w:rsid w:val="00FE16CB"/>
    <w:pPr>
      <w:widowControl w:val="0"/>
      <w:spacing w:line="240" w:lineRule="exact"/>
      <w:ind w:left="2160"/>
    </w:pPr>
    <w:rPr>
      <w:rFonts w:ascii="Arial" w:hAnsi="Arial"/>
      <w:snapToGrid w:val="0"/>
      <w:color w:val="000000"/>
      <w:kern w:val="30"/>
    </w:rPr>
  </w:style>
  <w:style w:type="character" w:customStyle="1" w:styleId="BodyTextChar">
    <w:name w:val="Body Text Char"/>
    <w:basedOn w:val="DefaultParagraphFont"/>
    <w:link w:val="BodyText"/>
    <w:semiHidden/>
    <w:rsid w:val="00FE16CB"/>
    <w:rPr>
      <w:rFonts w:ascii="Arial" w:eastAsia="Times New Roman" w:hAnsi="Arial" w:cs="Times New Roman"/>
      <w:snapToGrid w:val="0"/>
      <w:color w:val="000000"/>
      <w:kern w:val="30"/>
      <w:sz w:val="20"/>
      <w:szCs w:val="20"/>
    </w:rPr>
  </w:style>
  <w:style w:type="paragraph" w:styleId="BodyText2">
    <w:name w:val="Body Text 2"/>
    <w:basedOn w:val="Normal"/>
    <w:link w:val="BodyText2Char"/>
    <w:semiHidden/>
    <w:rsid w:val="00FE16CB"/>
    <w:pPr>
      <w:jc w:val="center"/>
    </w:pPr>
    <w:rPr>
      <w:lang w:val="en-CA"/>
    </w:rPr>
  </w:style>
  <w:style w:type="character" w:customStyle="1" w:styleId="BodyText2Char">
    <w:name w:val="Body Text 2 Char"/>
    <w:basedOn w:val="DefaultParagraphFont"/>
    <w:link w:val="BodyText2"/>
    <w:semiHidden/>
    <w:rsid w:val="00FE16CB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Title">
    <w:name w:val="Title"/>
    <w:basedOn w:val="Normal"/>
    <w:link w:val="TitleChar"/>
    <w:qFormat/>
    <w:rsid w:val="00FE16CB"/>
    <w:pPr>
      <w:widowControl w:val="0"/>
      <w:spacing w:line="480" w:lineRule="auto"/>
      <w:jc w:val="center"/>
    </w:pPr>
    <w:rPr>
      <w:b/>
      <w:bCs/>
      <w:i/>
      <w:iCs/>
      <w:emboss/>
      <w:snapToGrid w:val="0"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FE16CB"/>
    <w:rPr>
      <w:rFonts w:ascii="Times New Roman" w:eastAsia="Times New Roman" w:hAnsi="Times New Roman" w:cs="Times New Roman"/>
      <w:b/>
      <w:bCs/>
      <w:i/>
      <w:iCs/>
      <w:emboss/>
      <w:snapToGrid w:val="0"/>
      <w:sz w:val="30"/>
      <w:szCs w:val="30"/>
    </w:rPr>
  </w:style>
  <w:style w:type="paragraph" w:styleId="ListParagraph">
    <w:name w:val="List Paragraph"/>
    <w:basedOn w:val="Normal"/>
    <w:uiPriority w:val="34"/>
    <w:qFormat/>
    <w:rsid w:val="00FE16CB"/>
    <w:pPr>
      <w:ind w:left="720"/>
    </w:pPr>
    <w:rPr>
      <w:rFonts w:eastAsia="Calibri"/>
      <w:sz w:val="24"/>
      <w:szCs w:val="24"/>
    </w:rPr>
  </w:style>
  <w:style w:type="character" w:customStyle="1" w:styleId="currenthithighlight">
    <w:name w:val="currenthithighlight"/>
    <w:rsid w:val="00FE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Bazaz</dc:creator>
  <cp:keywords/>
  <dc:description/>
  <cp:lastModifiedBy>Mohammad Bazaz</cp:lastModifiedBy>
  <cp:revision>1</cp:revision>
  <dcterms:created xsi:type="dcterms:W3CDTF">2023-03-22T15:27:00Z</dcterms:created>
  <dcterms:modified xsi:type="dcterms:W3CDTF">2023-03-22T15:28:00Z</dcterms:modified>
</cp:coreProperties>
</file>