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CDD81F6"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B044F9" w:rsidRPr="00A536CC">
        <w:rPr>
          <w:sz w:val="24"/>
          <w:szCs w:val="24"/>
        </w:rPr>
        <w:t>Paul M. Orwin</w:t>
      </w:r>
    </w:p>
    <w:p w14:paraId="7FFF41C1" w14:textId="10E6E1C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B044F9" w:rsidRPr="00B044F9">
        <w:rPr>
          <w:sz w:val="22"/>
        </w:rPr>
        <w:t>PORWIN</w:t>
      </w:r>
    </w:p>
    <w:p w14:paraId="74873D9A" w14:textId="037445A4"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E0ACB">
        <w:rPr>
          <w:sz w:val="22"/>
        </w:rPr>
        <w:t xml:space="preserve"> Professor, </w:t>
      </w:r>
      <w:r w:rsidR="00CE0ACB" w:rsidRPr="00CE0ACB">
        <w:rPr>
          <w:sz w:val="22"/>
        </w:rPr>
        <w:t xml:space="preserve">Department of </w:t>
      </w:r>
      <w:r w:rsidR="00B044F9">
        <w:rPr>
          <w:sz w:val="22"/>
        </w:rPr>
        <w:t>Biology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15324255" w14:textId="77777777" w:rsidR="00B044F9" w:rsidRPr="00B044F9" w:rsidRDefault="00B044F9" w:rsidP="00B044F9">
            <w:pPr>
              <w:pStyle w:val="FormFieldCaption"/>
              <w:spacing w:before="20" w:after="20"/>
              <w:rPr>
                <w:sz w:val="22"/>
                <w:szCs w:val="22"/>
              </w:rPr>
            </w:pPr>
            <w:r w:rsidRPr="00B044F9">
              <w:rPr>
                <w:sz w:val="22"/>
                <w:szCs w:val="22"/>
              </w:rPr>
              <w:t>Harvey Mudd College, Claremont, CA</w:t>
            </w:r>
          </w:p>
          <w:p w14:paraId="442770A6" w14:textId="77777777" w:rsidR="00B044F9" w:rsidRPr="00B044F9" w:rsidRDefault="00B044F9" w:rsidP="00B044F9">
            <w:pPr>
              <w:pStyle w:val="FormFieldCaption"/>
              <w:spacing w:before="20" w:after="20"/>
              <w:rPr>
                <w:sz w:val="22"/>
                <w:szCs w:val="22"/>
              </w:rPr>
            </w:pPr>
            <w:r w:rsidRPr="00B044F9">
              <w:rPr>
                <w:sz w:val="22"/>
                <w:szCs w:val="22"/>
              </w:rPr>
              <w:t>University of Minnesota, Minneapolis, MN</w:t>
            </w:r>
          </w:p>
          <w:p w14:paraId="38196BDE" w14:textId="77777777" w:rsidR="00B044F9" w:rsidRPr="00B044F9" w:rsidRDefault="00B044F9" w:rsidP="00B044F9">
            <w:pPr>
              <w:pStyle w:val="FormFieldCaption"/>
              <w:spacing w:before="20" w:after="20"/>
              <w:rPr>
                <w:sz w:val="22"/>
                <w:szCs w:val="22"/>
              </w:rPr>
            </w:pPr>
            <w:r w:rsidRPr="00B044F9">
              <w:rPr>
                <w:sz w:val="22"/>
                <w:szCs w:val="22"/>
              </w:rPr>
              <w:t>University of Minnesota, St. Paul, MN (postdoc)</w:t>
            </w:r>
          </w:p>
          <w:p w14:paraId="3B0C531B" w14:textId="424BFC24" w:rsidR="00933173" w:rsidRPr="00977FA5" w:rsidRDefault="00B044F9" w:rsidP="00B044F9">
            <w:pPr>
              <w:pStyle w:val="FormFieldCaption"/>
              <w:spacing w:before="20" w:after="20"/>
              <w:rPr>
                <w:sz w:val="22"/>
                <w:szCs w:val="22"/>
              </w:rPr>
            </w:pPr>
            <w:r w:rsidRPr="00B044F9">
              <w:rPr>
                <w:sz w:val="22"/>
                <w:szCs w:val="22"/>
              </w:rPr>
              <w:t>California Institute of Technology, Pasadena CA</w:t>
            </w:r>
          </w:p>
        </w:tc>
        <w:tc>
          <w:tcPr>
            <w:tcW w:w="1440" w:type="dxa"/>
            <w:tcBorders>
              <w:top w:val="single" w:sz="4" w:space="0" w:color="auto"/>
            </w:tcBorders>
          </w:tcPr>
          <w:p w14:paraId="20D0FB4C" w14:textId="77777777" w:rsidR="00933173" w:rsidRDefault="00B044F9" w:rsidP="003E4A92">
            <w:pPr>
              <w:pStyle w:val="FormFieldCaption"/>
              <w:spacing w:before="20" w:after="20"/>
              <w:jc w:val="center"/>
              <w:rPr>
                <w:sz w:val="22"/>
                <w:szCs w:val="22"/>
              </w:rPr>
            </w:pPr>
            <w:r>
              <w:rPr>
                <w:sz w:val="22"/>
                <w:szCs w:val="22"/>
              </w:rPr>
              <w:t>BS</w:t>
            </w:r>
          </w:p>
          <w:p w14:paraId="5EE9BA03" w14:textId="77777777" w:rsidR="00B044F9" w:rsidRDefault="00B044F9" w:rsidP="003E4A92">
            <w:pPr>
              <w:pStyle w:val="FormFieldCaption"/>
              <w:spacing w:before="20" w:after="20"/>
              <w:jc w:val="center"/>
              <w:rPr>
                <w:sz w:val="22"/>
                <w:szCs w:val="22"/>
              </w:rPr>
            </w:pPr>
            <w:r>
              <w:rPr>
                <w:sz w:val="22"/>
                <w:szCs w:val="22"/>
              </w:rPr>
              <w:t>PhD</w:t>
            </w:r>
          </w:p>
          <w:p w14:paraId="3C39B620" w14:textId="77777777" w:rsidR="00B044F9" w:rsidRDefault="00B044F9" w:rsidP="003E4A92">
            <w:pPr>
              <w:pStyle w:val="FormFieldCaption"/>
              <w:spacing w:before="20" w:after="20"/>
              <w:jc w:val="center"/>
              <w:rPr>
                <w:sz w:val="22"/>
                <w:szCs w:val="22"/>
              </w:rPr>
            </w:pPr>
            <w:r>
              <w:rPr>
                <w:sz w:val="22"/>
                <w:szCs w:val="22"/>
              </w:rPr>
              <w:t>n/a</w:t>
            </w:r>
          </w:p>
          <w:p w14:paraId="62DD05C1" w14:textId="3E2DEC04" w:rsidR="00B044F9" w:rsidRPr="00977FA5" w:rsidRDefault="00B044F9" w:rsidP="003E4A92">
            <w:pPr>
              <w:pStyle w:val="FormFieldCaption"/>
              <w:spacing w:before="20" w:after="20"/>
              <w:jc w:val="center"/>
              <w:rPr>
                <w:sz w:val="22"/>
                <w:szCs w:val="22"/>
              </w:rPr>
            </w:pPr>
            <w:r>
              <w:rPr>
                <w:sz w:val="22"/>
                <w:szCs w:val="22"/>
              </w:rPr>
              <w:t>n/a</w:t>
            </w:r>
          </w:p>
        </w:tc>
        <w:tc>
          <w:tcPr>
            <w:tcW w:w="1584" w:type="dxa"/>
            <w:tcBorders>
              <w:top w:val="single" w:sz="4" w:space="0" w:color="auto"/>
            </w:tcBorders>
          </w:tcPr>
          <w:p w14:paraId="3CBE1265" w14:textId="77777777" w:rsidR="00933173" w:rsidRDefault="00B044F9" w:rsidP="003E4A92">
            <w:pPr>
              <w:pStyle w:val="FormFieldCaption"/>
              <w:spacing w:before="20" w:after="20"/>
              <w:jc w:val="center"/>
              <w:rPr>
                <w:sz w:val="22"/>
                <w:szCs w:val="22"/>
              </w:rPr>
            </w:pPr>
            <w:r>
              <w:rPr>
                <w:sz w:val="22"/>
                <w:szCs w:val="22"/>
              </w:rPr>
              <w:t>1995</w:t>
            </w:r>
          </w:p>
          <w:p w14:paraId="4EF7A9BF" w14:textId="77777777" w:rsidR="00B044F9" w:rsidRDefault="00B044F9" w:rsidP="003E4A92">
            <w:pPr>
              <w:pStyle w:val="FormFieldCaption"/>
              <w:spacing w:before="20" w:after="20"/>
              <w:jc w:val="center"/>
              <w:rPr>
                <w:sz w:val="22"/>
                <w:szCs w:val="22"/>
              </w:rPr>
            </w:pPr>
            <w:r>
              <w:rPr>
                <w:sz w:val="22"/>
                <w:szCs w:val="22"/>
              </w:rPr>
              <w:t>2001</w:t>
            </w:r>
          </w:p>
          <w:p w14:paraId="20D99700" w14:textId="77777777" w:rsidR="00B044F9" w:rsidRDefault="00B044F9" w:rsidP="003E4A92">
            <w:pPr>
              <w:pStyle w:val="FormFieldCaption"/>
              <w:spacing w:before="20" w:after="20"/>
              <w:jc w:val="center"/>
              <w:rPr>
                <w:sz w:val="22"/>
                <w:szCs w:val="22"/>
              </w:rPr>
            </w:pPr>
            <w:r>
              <w:rPr>
                <w:sz w:val="22"/>
                <w:szCs w:val="22"/>
              </w:rPr>
              <w:t>2001</w:t>
            </w:r>
          </w:p>
          <w:p w14:paraId="543299E0" w14:textId="558A8C28" w:rsidR="00B044F9" w:rsidRPr="00977FA5" w:rsidRDefault="00B044F9" w:rsidP="003E4A92">
            <w:pPr>
              <w:pStyle w:val="FormFieldCaption"/>
              <w:spacing w:before="20" w:after="20"/>
              <w:jc w:val="center"/>
              <w:rPr>
                <w:sz w:val="22"/>
                <w:szCs w:val="22"/>
              </w:rPr>
            </w:pPr>
            <w:r>
              <w:rPr>
                <w:sz w:val="22"/>
                <w:szCs w:val="22"/>
              </w:rPr>
              <w:t>2001-2003</w:t>
            </w:r>
          </w:p>
        </w:tc>
        <w:tc>
          <w:tcPr>
            <w:tcW w:w="2592" w:type="dxa"/>
            <w:tcBorders>
              <w:top w:val="single" w:sz="4" w:space="0" w:color="auto"/>
            </w:tcBorders>
          </w:tcPr>
          <w:p w14:paraId="21E95DCF" w14:textId="77777777" w:rsidR="00B044F9" w:rsidRPr="00B044F9" w:rsidRDefault="00B044F9" w:rsidP="00B044F9">
            <w:pPr>
              <w:pStyle w:val="FormFieldCaption"/>
              <w:spacing w:before="20" w:after="20"/>
              <w:rPr>
                <w:sz w:val="22"/>
                <w:szCs w:val="22"/>
              </w:rPr>
            </w:pPr>
            <w:r w:rsidRPr="00B044F9">
              <w:rPr>
                <w:sz w:val="22"/>
                <w:szCs w:val="22"/>
              </w:rPr>
              <w:t>Biology</w:t>
            </w:r>
          </w:p>
          <w:p w14:paraId="10C08B6B" w14:textId="77777777" w:rsidR="00B044F9" w:rsidRPr="00B044F9" w:rsidRDefault="00B044F9" w:rsidP="00B044F9">
            <w:pPr>
              <w:pStyle w:val="FormFieldCaption"/>
              <w:spacing w:before="20" w:after="20"/>
              <w:rPr>
                <w:sz w:val="22"/>
                <w:szCs w:val="22"/>
              </w:rPr>
            </w:pPr>
            <w:r w:rsidRPr="00B044F9">
              <w:rPr>
                <w:sz w:val="22"/>
                <w:szCs w:val="22"/>
              </w:rPr>
              <w:t>Microbiology</w:t>
            </w:r>
          </w:p>
          <w:p w14:paraId="3D8BDC7E" w14:textId="5F048E90" w:rsidR="00B044F9" w:rsidRPr="00B044F9" w:rsidRDefault="00B044F9" w:rsidP="00B044F9">
            <w:pPr>
              <w:pStyle w:val="FormFieldCaption"/>
              <w:spacing w:before="20" w:after="20"/>
              <w:rPr>
                <w:sz w:val="22"/>
                <w:szCs w:val="22"/>
              </w:rPr>
            </w:pPr>
            <w:r w:rsidRPr="00B044F9">
              <w:rPr>
                <w:sz w:val="22"/>
                <w:szCs w:val="22"/>
              </w:rPr>
              <w:t>Microbiology</w:t>
            </w:r>
          </w:p>
          <w:p w14:paraId="7BC5582F" w14:textId="3996A657" w:rsidR="00933173" w:rsidRPr="00977FA5" w:rsidRDefault="00B044F9" w:rsidP="00B044F9">
            <w:pPr>
              <w:pStyle w:val="FormFieldCaption"/>
              <w:spacing w:before="20" w:after="20"/>
              <w:rPr>
                <w:sz w:val="22"/>
                <w:szCs w:val="22"/>
              </w:rPr>
            </w:pPr>
            <w:r w:rsidRPr="00B044F9">
              <w:rPr>
                <w:sz w:val="22"/>
                <w:szCs w:val="22"/>
              </w:rPr>
              <w:t>Microbiology</w:t>
            </w:r>
          </w:p>
        </w:tc>
      </w:tr>
    </w:tbl>
    <w:p w14:paraId="1695BFF0" w14:textId="77777777" w:rsidR="002C51BC" w:rsidRDefault="002C51BC" w:rsidP="00FC5F9E"/>
    <w:p w14:paraId="7059467B" w14:textId="2BF1CA9B" w:rsidR="00731DE6" w:rsidRDefault="002C51BC" w:rsidP="00731DE6">
      <w:pPr>
        <w:pStyle w:val="nospaceout"/>
        <w:numPr>
          <w:ilvl w:val="0"/>
          <w:numId w:val="28"/>
        </w:numPr>
        <w:ind w:left="360"/>
        <w:rPr>
          <w:rFonts w:cs="Arial"/>
        </w:rPr>
      </w:pPr>
      <w:r w:rsidRPr="00A128A0">
        <w:rPr>
          <w:rStyle w:val="Strong"/>
        </w:rPr>
        <w:t>Personal Statement</w:t>
      </w:r>
      <w:r w:rsidR="00FE10AD">
        <w:rPr>
          <w:rStyle w:val="Strong"/>
        </w:rPr>
        <w:br/>
      </w:r>
      <w:r w:rsidR="00B044F9" w:rsidRPr="00731DE6">
        <w:rPr>
          <w:rFonts w:ascii="Arial" w:hAnsi="Arial" w:cs="Arial"/>
          <w:sz w:val="22"/>
          <w:szCs w:val="22"/>
        </w:rPr>
        <w:t xml:space="preserve">Over the past 17 years, I have mentored a large number of undergraduates and MS candidates, from diverse backgrounds.  Many of these students have presented posters at international meetings, and eight of them have been co-authors on peer-reviewed journal articles.  Of the students who have worked in my lab as undergraduates, ten have gone on to Ph.D. programs, and five additional students have gone on to post-graduate health professional schools.  These students learned how to engage in scientific thought and experimentation, and also how to report that information out to the scientific community.  They also learned </w:t>
      </w:r>
      <w:proofErr w:type="spellStart"/>
      <w:r w:rsidR="00B044F9" w:rsidRPr="00731DE6">
        <w:rPr>
          <w:rFonts w:ascii="Arial" w:hAnsi="Arial" w:cs="Arial"/>
          <w:sz w:val="22"/>
          <w:szCs w:val="22"/>
        </w:rPr>
        <w:t>learned</w:t>
      </w:r>
      <w:proofErr w:type="spellEnd"/>
      <w:r w:rsidR="00B044F9" w:rsidRPr="00731DE6">
        <w:rPr>
          <w:rFonts w:ascii="Arial" w:hAnsi="Arial" w:cs="Arial"/>
          <w:sz w:val="22"/>
          <w:szCs w:val="22"/>
        </w:rPr>
        <w:t xml:space="preserve"> cutting edge microbiological, molecular, and genetic techniques in the course of this work.  </w:t>
      </w:r>
      <w:r w:rsidR="00B044F9" w:rsidRPr="00731DE6">
        <w:rPr>
          <w:rFonts w:ascii="Arial" w:hAnsi="Arial" w:cs="Arial"/>
          <w:b/>
          <w:sz w:val="22"/>
          <w:szCs w:val="22"/>
        </w:rPr>
        <w:t xml:space="preserve">It is a point of pride for me personally to have students (including undergraduates) as authors on all of my primary publications. Their hard work and development in the laboratory </w:t>
      </w:r>
      <w:proofErr w:type="gramStart"/>
      <w:r w:rsidR="00B044F9" w:rsidRPr="00731DE6">
        <w:rPr>
          <w:rFonts w:ascii="Arial" w:hAnsi="Arial" w:cs="Arial"/>
          <w:b/>
          <w:sz w:val="22"/>
          <w:szCs w:val="22"/>
        </w:rPr>
        <w:t>is</w:t>
      </w:r>
      <w:proofErr w:type="gramEnd"/>
      <w:r w:rsidR="00B044F9" w:rsidRPr="00731DE6">
        <w:rPr>
          <w:rFonts w:ascii="Arial" w:hAnsi="Arial" w:cs="Arial"/>
          <w:b/>
          <w:sz w:val="22"/>
          <w:szCs w:val="22"/>
        </w:rPr>
        <w:t xml:space="preserve"> an important output of my research.</w:t>
      </w:r>
      <w:r w:rsidR="00B044F9" w:rsidRPr="00C31EB1">
        <w:rPr>
          <w:rFonts w:cs="Arial"/>
          <w:b/>
        </w:rPr>
        <w:t xml:space="preserve"> </w:t>
      </w:r>
      <w:r w:rsidR="00B044F9" w:rsidRPr="00C31EB1">
        <w:rPr>
          <w:rFonts w:cs="Arial"/>
        </w:rPr>
        <w:t xml:space="preserve"> </w:t>
      </w:r>
    </w:p>
    <w:p w14:paraId="66804A3A" w14:textId="094F73CB" w:rsidR="00B044F9" w:rsidRPr="00731DE6" w:rsidRDefault="00731DE6" w:rsidP="00731DE6">
      <w:pPr>
        <w:pStyle w:val="nospaceout"/>
        <w:ind w:left="360"/>
        <w:rPr>
          <w:rFonts w:ascii="Arial" w:hAnsi="Arial" w:cs="Arial"/>
          <w:sz w:val="22"/>
          <w:szCs w:val="22"/>
          <w:highlight w:val="yellow"/>
        </w:rPr>
      </w:pPr>
      <w:r w:rsidRPr="00731DE6">
        <w:rPr>
          <w:rFonts w:ascii="Arial" w:hAnsi="Arial" w:cs="Arial"/>
          <w:sz w:val="22"/>
          <w:szCs w:val="22"/>
        </w:rPr>
        <w:t xml:space="preserve">Although much of my work has been “pure” microbiology without a direct impact on human health, I have always been cognizant of the importance of basic science research in human </w:t>
      </w:r>
      <w:proofErr w:type="gramStart"/>
      <w:r w:rsidRPr="00731DE6">
        <w:rPr>
          <w:rFonts w:ascii="Arial" w:hAnsi="Arial" w:cs="Arial"/>
          <w:sz w:val="22"/>
          <w:szCs w:val="22"/>
        </w:rPr>
        <w:t>health, and</w:t>
      </w:r>
      <w:proofErr w:type="gramEnd"/>
      <w:r w:rsidRPr="00731DE6">
        <w:rPr>
          <w:rFonts w:ascii="Arial" w:hAnsi="Arial" w:cs="Arial"/>
          <w:sz w:val="22"/>
          <w:szCs w:val="22"/>
        </w:rPr>
        <w:t xml:space="preserve"> have always endeavored to keep that a focus of my science. </w:t>
      </w:r>
      <w:r w:rsidR="00B044F9" w:rsidRPr="00731DE6">
        <w:rPr>
          <w:rFonts w:ascii="Arial" w:hAnsi="Arial" w:cs="Arial"/>
          <w:sz w:val="22"/>
          <w:szCs w:val="22"/>
        </w:rPr>
        <w:t xml:space="preserve">Our recent work on </w:t>
      </w:r>
      <w:proofErr w:type="spellStart"/>
      <w:r w:rsidR="00B044F9" w:rsidRPr="00731DE6">
        <w:rPr>
          <w:rFonts w:ascii="Arial" w:hAnsi="Arial" w:cs="Arial"/>
          <w:i/>
          <w:sz w:val="22"/>
          <w:szCs w:val="22"/>
        </w:rPr>
        <w:t>Variovorax</w:t>
      </w:r>
      <w:proofErr w:type="spellEnd"/>
      <w:r w:rsidR="00B044F9" w:rsidRPr="00731DE6">
        <w:rPr>
          <w:rFonts w:ascii="Arial" w:hAnsi="Arial" w:cs="Arial"/>
          <w:i/>
          <w:sz w:val="22"/>
          <w:szCs w:val="22"/>
        </w:rPr>
        <w:t xml:space="preserve"> paradoxus </w:t>
      </w:r>
      <w:r w:rsidRPr="00731DE6">
        <w:rPr>
          <w:rFonts w:ascii="Arial" w:hAnsi="Arial" w:cs="Arial"/>
          <w:iCs/>
          <w:sz w:val="22"/>
          <w:szCs w:val="22"/>
        </w:rPr>
        <w:t xml:space="preserve">EPS is a case in point. We have identified a surfactant molecule </w:t>
      </w:r>
      <w:r w:rsidR="00B044F9" w:rsidRPr="00731DE6">
        <w:rPr>
          <w:rFonts w:ascii="Arial" w:hAnsi="Arial" w:cs="Arial"/>
          <w:sz w:val="22"/>
          <w:szCs w:val="22"/>
        </w:rPr>
        <w:t xml:space="preserve">critical to swarming </w:t>
      </w:r>
      <w:proofErr w:type="gramStart"/>
      <w:r w:rsidR="00B044F9" w:rsidRPr="00731DE6">
        <w:rPr>
          <w:rFonts w:ascii="Arial" w:hAnsi="Arial" w:cs="Arial"/>
          <w:sz w:val="22"/>
          <w:szCs w:val="22"/>
        </w:rPr>
        <w:t>motility</w:t>
      </w:r>
      <w:r w:rsidRPr="00731DE6">
        <w:rPr>
          <w:rFonts w:ascii="Arial" w:hAnsi="Arial" w:cs="Arial"/>
          <w:sz w:val="22"/>
          <w:szCs w:val="22"/>
        </w:rPr>
        <w:t>,</w:t>
      </w:r>
      <w:r w:rsidR="00B044F9" w:rsidRPr="00731DE6">
        <w:rPr>
          <w:rFonts w:ascii="Arial" w:hAnsi="Arial" w:cs="Arial"/>
          <w:sz w:val="22"/>
          <w:szCs w:val="22"/>
        </w:rPr>
        <w:t xml:space="preserve"> and</w:t>
      </w:r>
      <w:proofErr w:type="gramEnd"/>
      <w:r w:rsidR="00B044F9" w:rsidRPr="00731DE6">
        <w:rPr>
          <w:rFonts w:ascii="Arial" w:hAnsi="Arial" w:cs="Arial"/>
          <w:sz w:val="22"/>
          <w:szCs w:val="22"/>
        </w:rPr>
        <w:t xml:space="preserve"> have identified at least one gene that is necessary for synthesis.  We are currently very interested in evaluating the potential for this organism as a probiotic based on results indicating that it has inhibitory or bactericidal activity against Staphylococci.  We are simultaneously evaluating it for </w:t>
      </w:r>
      <w:proofErr w:type="spellStart"/>
      <w:r w:rsidR="00B044F9" w:rsidRPr="00731DE6">
        <w:rPr>
          <w:rFonts w:ascii="Arial" w:hAnsi="Arial" w:cs="Arial"/>
          <w:sz w:val="22"/>
          <w:szCs w:val="22"/>
        </w:rPr>
        <w:t>nematicidal</w:t>
      </w:r>
      <w:proofErr w:type="spellEnd"/>
      <w:r w:rsidR="00B044F9" w:rsidRPr="00731DE6">
        <w:rPr>
          <w:rFonts w:ascii="Arial" w:hAnsi="Arial" w:cs="Arial"/>
          <w:sz w:val="22"/>
          <w:szCs w:val="22"/>
        </w:rPr>
        <w:t xml:space="preserve"> and plant growth promotion activity.  This surprisingly versatile and capable organism seems to be remarkable in its ability to succeed in the environment, </w:t>
      </w:r>
      <w:r w:rsidR="00B044F9" w:rsidRPr="00731DE6">
        <w:rPr>
          <w:rFonts w:ascii="Arial" w:hAnsi="Arial" w:cs="Arial"/>
          <w:b/>
          <w:bCs/>
          <w:sz w:val="22"/>
          <w:szCs w:val="22"/>
        </w:rPr>
        <w:t>and our success in this regard is testimony to the importance of basic, hypothesis driven research into environmental organisms as potential sources for novel probiotics or therapeutics.</w:t>
      </w:r>
      <w:r w:rsidR="00B044F9" w:rsidRPr="00731DE6">
        <w:rPr>
          <w:rFonts w:ascii="Arial" w:hAnsi="Arial" w:cs="Arial"/>
          <w:sz w:val="22"/>
          <w:szCs w:val="22"/>
        </w:rPr>
        <w:t xml:space="preserve"> We now have a robust collection of </w:t>
      </w:r>
      <w:proofErr w:type="spellStart"/>
      <w:r w:rsidR="00B044F9" w:rsidRPr="00731DE6">
        <w:rPr>
          <w:rFonts w:ascii="Arial" w:hAnsi="Arial" w:cs="Arial"/>
          <w:sz w:val="22"/>
          <w:szCs w:val="22"/>
        </w:rPr>
        <w:t>Variovorax</w:t>
      </w:r>
      <w:proofErr w:type="spellEnd"/>
      <w:r w:rsidR="00B044F9" w:rsidRPr="00731DE6">
        <w:rPr>
          <w:rFonts w:ascii="Arial" w:hAnsi="Arial" w:cs="Arial"/>
          <w:sz w:val="22"/>
          <w:szCs w:val="22"/>
        </w:rPr>
        <w:t xml:space="preserve"> isolates that we have sequenced and begun analyzing for antimicrobial activity, quorum quenching, and biofilm formation. Their diverse genome architectures, genotypes, and phenotypes will form the basis for subsequent comparative genomics and physiology projects.</w:t>
      </w:r>
    </w:p>
    <w:p w14:paraId="62AC8F86" w14:textId="61A81EF6" w:rsidR="00B044F9" w:rsidRDefault="00731DE6" w:rsidP="00B044F9">
      <w:pPr>
        <w:ind w:left="360" w:right="288" w:firstLine="360"/>
        <w:jc w:val="both"/>
        <w:rPr>
          <w:rFonts w:cs="Arial"/>
        </w:rPr>
      </w:pPr>
      <w:r>
        <w:rPr>
          <w:rFonts w:cs="Arial"/>
          <w:b/>
          <w:bCs/>
        </w:rPr>
        <w:t>I</w:t>
      </w:r>
      <w:r w:rsidR="00B044F9" w:rsidRPr="00A8600C">
        <w:rPr>
          <w:rFonts w:cs="Arial"/>
          <w:b/>
          <w:bCs/>
        </w:rPr>
        <w:t xml:space="preserve"> have recently developed expertise in genome and transcriptome sequencing</w:t>
      </w:r>
      <w:r w:rsidR="00B044F9" w:rsidRPr="00C31EB1">
        <w:rPr>
          <w:rFonts w:cs="Arial"/>
        </w:rPr>
        <w:t>. I have continued to build expertise in DNA sequencing using 2</w:t>
      </w:r>
      <w:r w:rsidR="00B044F9" w:rsidRPr="00C31EB1">
        <w:rPr>
          <w:rFonts w:cs="Arial"/>
          <w:vertAlign w:val="superscript"/>
        </w:rPr>
        <w:t>nd</w:t>
      </w:r>
      <w:r w:rsidR="00B044F9" w:rsidRPr="00C31EB1">
        <w:rPr>
          <w:rFonts w:cs="Arial"/>
        </w:rPr>
        <w:t xml:space="preserve"> and 3</w:t>
      </w:r>
      <w:r w:rsidR="00B044F9" w:rsidRPr="00C31EB1">
        <w:rPr>
          <w:rFonts w:cs="Arial"/>
          <w:vertAlign w:val="superscript"/>
        </w:rPr>
        <w:t>rd</w:t>
      </w:r>
      <w:r w:rsidR="00B044F9" w:rsidRPr="00C31EB1">
        <w:rPr>
          <w:rFonts w:cs="Arial"/>
        </w:rPr>
        <w:t xml:space="preserve"> generation techniques. These approaches were initially used to study our  </w:t>
      </w:r>
      <w:proofErr w:type="spellStart"/>
      <w:r w:rsidR="00B044F9" w:rsidRPr="00C31EB1">
        <w:rPr>
          <w:rFonts w:cs="Arial"/>
          <w:i/>
        </w:rPr>
        <w:t>Variovorax</w:t>
      </w:r>
      <w:proofErr w:type="spellEnd"/>
      <w:r w:rsidR="00B044F9" w:rsidRPr="00C31EB1">
        <w:rPr>
          <w:rFonts w:cs="Arial"/>
          <w:i/>
        </w:rPr>
        <w:t xml:space="preserve"> paradoxus </w:t>
      </w:r>
      <w:r w:rsidR="00B044F9" w:rsidRPr="00C31EB1">
        <w:rPr>
          <w:rFonts w:cs="Arial"/>
        </w:rPr>
        <w:t xml:space="preserve">isolates, but I have built collaborations with colleagues to study the microbiomes of animals, and plan to continue building on this experience to provide students in our program with an integrative biology experience that includes physiology, genomics, molecular </w:t>
      </w:r>
      <w:r w:rsidR="00B044F9" w:rsidRPr="00C31EB1">
        <w:rPr>
          <w:rFonts w:cs="Arial"/>
        </w:rPr>
        <w:lastRenderedPageBreak/>
        <w:t xml:space="preserve">biology, and bioinformatics.  This experience will provide excellent preparation as these students prepare to move on to the next phase of their education or profession.  </w:t>
      </w:r>
    </w:p>
    <w:p w14:paraId="09B8ADEB" w14:textId="77777777" w:rsidR="00731DE6" w:rsidRDefault="00731DE6" w:rsidP="00B044F9">
      <w:pPr>
        <w:ind w:left="360" w:right="288" w:firstLine="360"/>
        <w:jc w:val="both"/>
        <w:rPr>
          <w:rFonts w:cs="Arial"/>
        </w:rPr>
      </w:pPr>
    </w:p>
    <w:p w14:paraId="110AFC92" w14:textId="6810ED3A" w:rsidR="00B044F9" w:rsidRPr="00A8600C" w:rsidRDefault="00B044F9" w:rsidP="00B044F9">
      <w:pPr>
        <w:ind w:left="360" w:right="288" w:firstLine="360"/>
        <w:jc w:val="both"/>
        <w:rPr>
          <w:rFonts w:cs="Arial"/>
        </w:rPr>
      </w:pPr>
      <w:r>
        <w:rPr>
          <w:rFonts w:cs="Arial"/>
          <w:b/>
          <w:bCs/>
        </w:rPr>
        <w:t>The Covid</w:t>
      </w:r>
      <w:r>
        <w:rPr>
          <w:rFonts w:cs="Arial"/>
        </w:rPr>
        <w:t>-</w:t>
      </w:r>
      <w:r>
        <w:rPr>
          <w:rFonts w:cs="Arial"/>
          <w:b/>
          <w:bCs/>
        </w:rPr>
        <w:t>19 crisis has had a major impact on the world, the nation, and the CSUSB community. I am deeply committed to doing whatever I can to help my community, and am now applying my expertise in molecular biology and DNA sequencing to this end.</w:t>
      </w:r>
      <w:r>
        <w:rPr>
          <w:rFonts w:cs="Arial"/>
        </w:rPr>
        <w:t xml:space="preserve"> My recent development of expertise in Nanopore sequencing has provided us with an opportunity to engage in the developing rapid response testing for SARS-CoV-2. </w:t>
      </w:r>
      <w:r w:rsidR="00731DE6">
        <w:rPr>
          <w:rFonts w:cs="Arial"/>
        </w:rPr>
        <w:t>In my past I have had diverse experience with antimicrobial agent development, infectious disease research, and biosensors.  I feel confident that my broad understanding of many aspects of microbiology research and biotechnology, along with my deep commitment to my community</w:t>
      </w:r>
      <w:r w:rsidR="00CD67F0">
        <w:rPr>
          <w:rFonts w:cs="Arial"/>
        </w:rPr>
        <w:t>, will allow me to successfully integrate my knowledge and that of my collaborators into an effort to bring much needed testing capacity to California’s disadvantaged communities.</w:t>
      </w:r>
    </w:p>
    <w:p w14:paraId="2CCF6982" w14:textId="77777777" w:rsidR="00B044F9" w:rsidRPr="00A128A0" w:rsidRDefault="00B044F9"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51782393" w14:textId="1A9A4F13" w:rsidR="00CE0ACB" w:rsidRDefault="002C51BC" w:rsidP="00CE0ACB">
      <w:pPr>
        <w:pStyle w:val="DataField11pt-Single"/>
      </w:pPr>
      <w:r w:rsidRPr="00A128A0">
        <w:rPr>
          <w:rStyle w:val="Strong"/>
        </w:rPr>
        <w:t>B.</w:t>
      </w:r>
      <w:r w:rsidRPr="00A128A0">
        <w:rPr>
          <w:rStyle w:val="Strong"/>
        </w:rPr>
        <w:tab/>
        <w:t>Positions and Honors</w:t>
      </w:r>
    </w:p>
    <w:p w14:paraId="606FAD83" w14:textId="77777777" w:rsidR="00CE0ACB" w:rsidRDefault="00CE0ACB" w:rsidP="002C51BC">
      <w:pPr>
        <w:pStyle w:val="DataField11pt-Single"/>
        <w:rPr>
          <w:rStyle w:val="Strong"/>
          <w:b w:val="0"/>
          <w:bCs w:val="0"/>
        </w:rPr>
      </w:pPr>
    </w:p>
    <w:p w14:paraId="0CC17317" w14:textId="002C6867" w:rsidR="00CE0ACB" w:rsidRPr="00CE0ACB" w:rsidRDefault="00B044F9" w:rsidP="00CE0ACB">
      <w:pPr>
        <w:tabs>
          <w:tab w:val="left" w:pos="2160"/>
        </w:tabs>
        <w:rPr>
          <w:rFonts w:cs="Arial"/>
          <w:szCs w:val="22"/>
        </w:rPr>
      </w:pPr>
      <w:r w:rsidRPr="00B044F9">
        <w:rPr>
          <w:rStyle w:val="Strong"/>
          <w:rFonts w:cs="Arial"/>
          <w:b w:val="0"/>
          <w:bCs w:val="0"/>
          <w:szCs w:val="20"/>
        </w:rPr>
        <w:t xml:space="preserve">2001 (Feb-Jul)   </w:t>
      </w:r>
      <w:r>
        <w:rPr>
          <w:rStyle w:val="Strong"/>
          <w:rFonts w:cs="Arial"/>
          <w:b w:val="0"/>
          <w:bCs w:val="0"/>
          <w:szCs w:val="20"/>
        </w:rPr>
        <w:tab/>
      </w:r>
      <w:r w:rsidRPr="00B044F9">
        <w:rPr>
          <w:rStyle w:val="Strong"/>
          <w:rFonts w:cs="Arial"/>
          <w:b w:val="0"/>
          <w:bCs w:val="0"/>
          <w:szCs w:val="20"/>
        </w:rPr>
        <w:t>Postdoctoral Fellow, Biotechnology Institute (BTI), University of Minnesota</w:t>
      </w:r>
    </w:p>
    <w:p w14:paraId="3C2DA2EA" w14:textId="6266A735" w:rsidR="00CE0ACB" w:rsidRPr="00CE0ACB" w:rsidRDefault="00B044F9" w:rsidP="00B044F9">
      <w:pPr>
        <w:tabs>
          <w:tab w:val="left" w:pos="2160"/>
        </w:tabs>
        <w:ind w:left="2160" w:hanging="2160"/>
        <w:rPr>
          <w:rFonts w:cs="Arial"/>
          <w:szCs w:val="22"/>
        </w:rPr>
      </w:pPr>
      <w:r>
        <w:rPr>
          <w:rFonts w:cs="Arial"/>
          <w:szCs w:val="22"/>
        </w:rPr>
        <w:t>2001 – 2003</w:t>
      </w:r>
      <w:r w:rsidR="00CE0ACB" w:rsidRPr="00CE0ACB">
        <w:rPr>
          <w:rFonts w:cs="Arial"/>
          <w:szCs w:val="22"/>
        </w:rPr>
        <w:tab/>
      </w:r>
      <w:r w:rsidRPr="00B044F9">
        <w:rPr>
          <w:rFonts w:cs="Arial"/>
          <w:szCs w:val="22"/>
        </w:rPr>
        <w:t>Postdoctoral Fellow, Department of Environmental Science and Engineering, California Institute of Technology</w:t>
      </w:r>
    </w:p>
    <w:p w14:paraId="1BC01964" w14:textId="220C66DF" w:rsidR="00CE0ACB" w:rsidRPr="00CE0ACB" w:rsidRDefault="00B044F9" w:rsidP="00CE0ACB">
      <w:pPr>
        <w:tabs>
          <w:tab w:val="left" w:pos="2160"/>
        </w:tabs>
        <w:ind w:left="2070" w:hanging="2070"/>
        <w:rPr>
          <w:rFonts w:cs="Arial"/>
          <w:szCs w:val="22"/>
        </w:rPr>
      </w:pPr>
      <w:r>
        <w:rPr>
          <w:rFonts w:cs="Arial"/>
          <w:szCs w:val="22"/>
        </w:rPr>
        <w:t>2003</w:t>
      </w:r>
      <w:r w:rsidR="00CE0ACB" w:rsidRPr="00CE0ACB">
        <w:rPr>
          <w:rFonts w:cs="Arial"/>
          <w:szCs w:val="22"/>
        </w:rPr>
        <w:t xml:space="preserve"> – 2009</w:t>
      </w:r>
      <w:r w:rsidR="00CE0ACB" w:rsidRPr="00CE0ACB">
        <w:rPr>
          <w:rFonts w:cs="Arial"/>
          <w:szCs w:val="22"/>
        </w:rPr>
        <w:tab/>
      </w:r>
      <w:r w:rsidR="00CE0ACB">
        <w:rPr>
          <w:rFonts w:cs="Arial"/>
          <w:szCs w:val="22"/>
        </w:rPr>
        <w:tab/>
      </w:r>
      <w:r w:rsidRPr="00B044F9">
        <w:rPr>
          <w:rFonts w:cs="Arial"/>
          <w:szCs w:val="22"/>
        </w:rPr>
        <w:t>Assistant Professor, Department of Biology, CSUSB</w:t>
      </w:r>
    </w:p>
    <w:p w14:paraId="08A7D235" w14:textId="41AAAEA6" w:rsidR="00CE0ACB" w:rsidRPr="00CE0ACB" w:rsidRDefault="00B044F9" w:rsidP="00CE0ACB">
      <w:pPr>
        <w:tabs>
          <w:tab w:val="left" w:pos="2160"/>
        </w:tabs>
        <w:ind w:left="2160" w:hanging="2160"/>
        <w:rPr>
          <w:rFonts w:cs="Arial"/>
          <w:szCs w:val="22"/>
        </w:rPr>
      </w:pPr>
      <w:r>
        <w:rPr>
          <w:rFonts w:cs="Arial"/>
          <w:szCs w:val="22"/>
        </w:rPr>
        <w:t xml:space="preserve">2009 </w:t>
      </w:r>
      <w:proofErr w:type="gramStart"/>
      <w:r>
        <w:rPr>
          <w:rFonts w:cs="Arial"/>
          <w:szCs w:val="22"/>
        </w:rPr>
        <w:t>-  2013</w:t>
      </w:r>
      <w:proofErr w:type="gramEnd"/>
      <w:r w:rsidR="00CE0ACB" w:rsidRPr="00CE0ACB">
        <w:rPr>
          <w:rFonts w:cs="Arial"/>
          <w:szCs w:val="22"/>
        </w:rPr>
        <w:tab/>
      </w:r>
      <w:r w:rsidRPr="00B044F9">
        <w:rPr>
          <w:rFonts w:cs="Arial"/>
          <w:szCs w:val="22"/>
        </w:rPr>
        <w:t>Associate Professor, Department of Biology, CSUSB</w:t>
      </w:r>
    </w:p>
    <w:p w14:paraId="4E6033BE" w14:textId="51D631BC" w:rsidR="002C51BC" w:rsidRDefault="00B044F9" w:rsidP="00CE0ACB">
      <w:pPr>
        <w:tabs>
          <w:tab w:val="left" w:pos="2160"/>
        </w:tabs>
        <w:rPr>
          <w:rFonts w:cs="Arial"/>
          <w:b/>
          <w:bCs/>
          <w:szCs w:val="22"/>
        </w:rPr>
      </w:pPr>
      <w:r>
        <w:rPr>
          <w:rFonts w:cs="Arial"/>
          <w:b/>
          <w:bCs/>
          <w:szCs w:val="22"/>
        </w:rPr>
        <w:t>2013 – P</w:t>
      </w:r>
      <w:r w:rsidR="00CE0ACB" w:rsidRPr="00CE0ACB">
        <w:rPr>
          <w:rFonts w:cs="Arial"/>
          <w:b/>
          <w:bCs/>
          <w:szCs w:val="22"/>
        </w:rPr>
        <w:t>resent</w:t>
      </w:r>
      <w:r w:rsidR="00CE0ACB" w:rsidRPr="00CE0ACB">
        <w:rPr>
          <w:rFonts w:cs="Arial"/>
          <w:b/>
          <w:bCs/>
          <w:szCs w:val="22"/>
        </w:rPr>
        <w:tab/>
      </w:r>
      <w:r w:rsidRPr="00B044F9">
        <w:rPr>
          <w:rFonts w:cs="Arial"/>
          <w:b/>
          <w:bCs/>
          <w:szCs w:val="22"/>
        </w:rPr>
        <w:t>Professor, Department of Biology, CSUSB</w:t>
      </w:r>
    </w:p>
    <w:p w14:paraId="213EE2A6" w14:textId="0489BC9F" w:rsidR="00B044F9" w:rsidRDefault="00B044F9" w:rsidP="00CE0ACB">
      <w:pPr>
        <w:tabs>
          <w:tab w:val="left" w:pos="2160"/>
        </w:tabs>
        <w:rPr>
          <w:rFonts w:cs="Arial"/>
          <w:b/>
          <w:bCs/>
          <w:szCs w:val="22"/>
        </w:rPr>
      </w:pPr>
    </w:p>
    <w:p w14:paraId="16A312A8" w14:textId="473FE86E" w:rsidR="00B044F9" w:rsidRDefault="00B044F9" w:rsidP="00B044F9">
      <w:pPr>
        <w:tabs>
          <w:tab w:val="left" w:pos="2160"/>
        </w:tabs>
        <w:rPr>
          <w:rStyle w:val="Strong"/>
          <w:rFonts w:cs="Arial"/>
          <w:szCs w:val="22"/>
        </w:rPr>
      </w:pPr>
      <w:r w:rsidRPr="00B044F9">
        <w:rPr>
          <w:rStyle w:val="Strong"/>
          <w:rFonts w:cs="Arial"/>
          <w:szCs w:val="22"/>
        </w:rPr>
        <w:t>Honors and Awards</w:t>
      </w:r>
    </w:p>
    <w:p w14:paraId="79C49149" w14:textId="77777777" w:rsidR="00153D3D" w:rsidRPr="00B044F9" w:rsidRDefault="00153D3D" w:rsidP="00B044F9">
      <w:pPr>
        <w:tabs>
          <w:tab w:val="left" w:pos="2160"/>
        </w:tabs>
        <w:rPr>
          <w:rStyle w:val="Strong"/>
          <w:rFonts w:cs="Arial"/>
          <w:szCs w:val="22"/>
        </w:rPr>
      </w:pPr>
    </w:p>
    <w:p w14:paraId="5B88CF0C" w14:textId="30ABBB5F" w:rsidR="00B044F9" w:rsidRDefault="00B044F9" w:rsidP="00B044F9">
      <w:pPr>
        <w:tabs>
          <w:tab w:val="left" w:pos="2160"/>
        </w:tabs>
        <w:rPr>
          <w:rStyle w:val="Strong"/>
          <w:rFonts w:cs="Arial"/>
          <w:b w:val="0"/>
          <w:szCs w:val="22"/>
        </w:rPr>
      </w:pPr>
      <w:r>
        <w:rPr>
          <w:rStyle w:val="Strong"/>
          <w:rFonts w:cs="Arial"/>
          <w:b w:val="0"/>
          <w:szCs w:val="22"/>
        </w:rPr>
        <w:t>Sep 95 -</w:t>
      </w:r>
      <w:r w:rsidR="00153D3D">
        <w:rPr>
          <w:rStyle w:val="Strong"/>
          <w:rFonts w:cs="Arial"/>
          <w:b w:val="0"/>
          <w:szCs w:val="22"/>
        </w:rPr>
        <w:t xml:space="preserve"> Jun 96 </w:t>
      </w:r>
      <w:r w:rsidR="00153D3D">
        <w:rPr>
          <w:rStyle w:val="Strong"/>
          <w:rFonts w:cs="Arial"/>
          <w:b w:val="0"/>
          <w:szCs w:val="22"/>
        </w:rPr>
        <w:tab/>
      </w:r>
      <w:r w:rsidRPr="00B044F9">
        <w:rPr>
          <w:rStyle w:val="Strong"/>
          <w:rFonts w:cs="Arial"/>
          <w:b w:val="0"/>
          <w:szCs w:val="22"/>
        </w:rPr>
        <w:t>University of Minnesota Graduate Fellowship</w:t>
      </w:r>
    </w:p>
    <w:p w14:paraId="319AD633" w14:textId="3EA36856" w:rsidR="00B044F9" w:rsidRPr="00B044F9" w:rsidRDefault="00B044F9" w:rsidP="00B044F9">
      <w:pPr>
        <w:tabs>
          <w:tab w:val="left" w:pos="2160"/>
        </w:tabs>
        <w:rPr>
          <w:rStyle w:val="Strong"/>
          <w:rFonts w:cs="Arial"/>
          <w:b w:val="0"/>
          <w:szCs w:val="22"/>
        </w:rPr>
      </w:pPr>
      <w:r>
        <w:rPr>
          <w:rStyle w:val="Strong"/>
          <w:rFonts w:cs="Arial"/>
          <w:b w:val="0"/>
          <w:szCs w:val="22"/>
        </w:rPr>
        <w:t xml:space="preserve">Jun 96 - </w:t>
      </w:r>
      <w:r w:rsidR="00153D3D">
        <w:rPr>
          <w:rStyle w:val="Strong"/>
          <w:rFonts w:cs="Arial"/>
          <w:b w:val="0"/>
          <w:szCs w:val="22"/>
        </w:rPr>
        <w:t>Jun 99</w:t>
      </w:r>
      <w:r w:rsidR="00153D3D">
        <w:rPr>
          <w:rStyle w:val="Strong"/>
          <w:rFonts w:cs="Arial"/>
          <w:b w:val="0"/>
          <w:szCs w:val="22"/>
        </w:rPr>
        <w:tab/>
      </w:r>
      <w:r w:rsidRPr="00B044F9">
        <w:rPr>
          <w:rStyle w:val="Strong"/>
          <w:rFonts w:cs="Arial"/>
          <w:b w:val="0"/>
          <w:szCs w:val="22"/>
        </w:rPr>
        <w:t xml:space="preserve">NSF Predoctoral Fellowship in Biology </w:t>
      </w:r>
    </w:p>
    <w:p w14:paraId="56E36C84" w14:textId="77777777" w:rsidR="00B044F9" w:rsidRPr="00B044F9" w:rsidRDefault="00B044F9" w:rsidP="00153D3D">
      <w:pPr>
        <w:tabs>
          <w:tab w:val="left" w:pos="2160"/>
        </w:tabs>
        <w:ind w:left="720" w:hanging="720"/>
        <w:rPr>
          <w:rStyle w:val="Strong"/>
          <w:rFonts w:cs="Arial"/>
          <w:b w:val="0"/>
          <w:szCs w:val="22"/>
        </w:rPr>
      </w:pPr>
      <w:r w:rsidRPr="00B044F9">
        <w:rPr>
          <w:rStyle w:val="Strong"/>
          <w:rFonts w:cs="Arial"/>
          <w:b w:val="0"/>
          <w:szCs w:val="22"/>
        </w:rPr>
        <w:t>2016</w:t>
      </w:r>
      <w:r w:rsidRPr="00B044F9">
        <w:rPr>
          <w:rStyle w:val="Strong"/>
          <w:rFonts w:cs="Arial"/>
          <w:b w:val="0"/>
          <w:szCs w:val="22"/>
        </w:rPr>
        <w:tab/>
      </w:r>
      <w:r w:rsidRPr="00B044F9">
        <w:rPr>
          <w:rStyle w:val="Strong"/>
          <w:rFonts w:cs="Arial"/>
          <w:b w:val="0"/>
          <w:szCs w:val="22"/>
        </w:rPr>
        <w:tab/>
        <w:t>College of Natural Sciences Outstanding Professor, Research and Scholarly Activities</w:t>
      </w:r>
    </w:p>
    <w:p w14:paraId="7D80F27C" w14:textId="77777777" w:rsidR="00B044F9" w:rsidRPr="00B044F9" w:rsidRDefault="00B044F9" w:rsidP="00B044F9">
      <w:pPr>
        <w:tabs>
          <w:tab w:val="left" w:pos="2160"/>
        </w:tabs>
        <w:rPr>
          <w:rStyle w:val="Strong"/>
          <w:rFonts w:cs="Arial"/>
          <w:b w:val="0"/>
          <w:szCs w:val="22"/>
        </w:rPr>
      </w:pPr>
    </w:p>
    <w:p w14:paraId="7156EF00" w14:textId="5CCB3DD7" w:rsidR="00731DE6" w:rsidRPr="00153D3D" w:rsidRDefault="002C51BC" w:rsidP="00731DE6">
      <w:pPr>
        <w:pStyle w:val="nospaceout"/>
        <w:rPr>
          <w:rFonts w:cs="Arial"/>
          <w:b/>
          <w:bCs/>
          <w:szCs w:val="22"/>
        </w:rPr>
      </w:pPr>
      <w:r w:rsidRPr="00A128A0">
        <w:rPr>
          <w:rStyle w:val="Strong"/>
        </w:rPr>
        <w:t>C.</w:t>
      </w:r>
      <w:r w:rsidRPr="00A128A0">
        <w:rPr>
          <w:rStyle w:val="Strong"/>
        </w:rPr>
        <w:tab/>
        <w:t>Contributions to Science</w:t>
      </w:r>
    </w:p>
    <w:p w14:paraId="5F5C8014" w14:textId="16054297" w:rsidR="00153D3D" w:rsidRPr="00153D3D" w:rsidRDefault="00153D3D" w:rsidP="00731DE6">
      <w:pPr>
        <w:numPr>
          <w:ilvl w:val="0"/>
          <w:numId w:val="26"/>
        </w:numPr>
        <w:autoSpaceDE/>
        <w:autoSpaceDN/>
        <w:spacing w:before="100" w:beforeAutospacing="1" w:after="100" w:afterAutospacing="1"/>
        <w:rPr>
          <w:rFonts w:cs="Arial"/>
          <w:szCs w:val="22"/>
        </w:rPr>
      </w:pPr>
      <w:r w:rsidRPr="00153D3D">
        <w:rPr>
          <w:rFonts w:cs="Arial"/>
          <w:b/>
          <w:bCs/>
          <w:szCs w:val="22"/>
        </w:rPr>
        <w:t xml:space="preserve">Biofilm genetics and physiology in </w:t>
      </w:r>
      <w:proofErr w:type="spellStart"/>
      <w:r w:rsidRPr="00153D3D">
        <w:rPr>
          <w:rFonts w:cs="Arial"/>
          <w:b/>
          <w:bCs/>
          <w:i/>
          <w:iCs/>
          <w:szCs w:val="22"/>
        </w:rPr>
        <w:t>Variovorax</w:t>
      </w:r>
      <w:proofErr w:type="spellEnd"/>
      <w:r w:rsidRPr="00153D3D">
        <w:rPr>
          <w:rFonts w:cs="Arial"/>
          <w:b/>
          <w:bCs/>
          <w:i/>
          <w:iCs/>
          <w:szCs w:val="22"/>
        </w:rPr>
        <w:t xml:space="preserve"> paradoxus.</w:t>
      </w:r>
      <w:r w:rsidRPr="00153D3D">
        <w:rPr>
          <w:rFonts w:cs="Arial"/>
          <w:b/>
          <w:bCs/>
          <w:szCs w:val="22"/>
        </w:rPr>
        <w:t xml:space="preserve"> </w:t>
      </w:r>
      <w:r w:rsidRPr="00153D3D">
        <w:rPr>
          <w:rFonts w:cs="Arial"/>
          <w:szCs w:val="22"/>
        </w:rPr>
        <w:t xml:space="preserve">Our research group has made substantial </w:t>
      </w:r>
      <w:proofErr w:type="spellStart"/>
      <w:r w:rsidRPr="00153D3D">
        <w:rPr>
          <w:rFonts w:cs="Arial"/>
          <w:szCs w:val="22"/>
        </w:rPr>
        <w:t>progess</w:t>
      </w:r>
      <w:proofErr w:type="spellEnd"/>
      <w:r w:rsidRPr="00153D3D">
        <w:rPr>
          <w:rFonts w:cs="Arial"/>
          <w:szCs w:val="22"/>
        </w:rPr>
        <w:t xml:space="preserve"> on understanding the underlying mechanisms of biofilm formation and swarming motility, including identifying novel mechanisms of regulation and functional analysis of this in a non-model system.  </w:t>
      </w:r>
      <w:proofErr w:type="spellStart"/>
      <w:r w:rsidRPr="00153D3D">
        <w:rPr>
          <w:rFonts w:cs="Arial"/>
          <w:i/>
          <w:iCs/>
          <w:szCs w:val="22"/>
        </w:rPr>
        <w:t>Variovorax</w:t>
      </w:r>
      <w:proofErr w:type="spellEnd"/>
      <w:r w:rsidRPr="00153D3D">
        <w:rPr>
          <w:rFonts w:cs="Arial"/>
          <w:i/>
          <w:iCs/>
          <w:szCs w:val="22"/>
        </w:rPr>
        <w:t xml:space="preserve"> paradoxus </w:t>
      </w:r>
      <w:r w:rsidRPr="00153D3D">
        <w:rPr>
          <w:rFonts w:cs="Arial"/>
          <w:szCs w:val="22"/>
        </w:rPr>
        <w:t>is a widespread environmental bacterium that has been associated with a number of important functions in plant associated systems. It is also often detected as part of the human oral microbiome.  Our studies have identified common themes in biofilm formation and swarming motility, as well as elements that are less common and may shed light on the diversity of regulatory pathways that control these fundamental bacterial behaviors.</w:t>
      </w:r>
      <w:r w:rsidR="00731DE6">
        <w:rPr>
          <w:rFonts w:cs="Arial"/>
          <w:szCs w:val="22"/>
        </w:rPr>
        <w:t xml:space="preserve"> As principle investigator, I have been playing a central role in all of this work from </w:t>
      </w:r>
      <w:proofErr w:type="spellStart"/>
      <w:r w:rsidR="00731DE6">
        <w:rPr>
          <w:rFonts w:cs="Arial"/>
          <w:szCs w:val="22"/>
        </w:rPr>
        <w:t>grantwriting</w:t>
      </w:r>
      <w:proofErr w:type="spellEnd"/>
      <w:r w:rsidR="00731DE6">
        <w:rPr>
          <w:rFonts w:cs="Arial"/>
          <w:szCs w:val="22"/>
        </w:rPr>
        <w:t xml:space="preserve"> to experiment planning to manuscript preparation.</w:t>
      </w:r>
    </w:p>
    <w:p w14:paraId="7AAA73C7" w14:textId="77777777" w:rsidR="00153D3D" w:rsidRPr="00153D3D" w:rsidRDefault="00153D3D" w:rsidP="00153D3D">
      <w:pPr>
        <w:autoSpaceDE/>
        <w:autoSpaceDN/>
        <w:ind w:left="540" w:hanging="540"/>
        <w:rPr>
          <w:rFonts w:cs="Arial"/>
          <w:szCs w:val="22"/>
        </w:rPr>
      </w:pPr>
    </w:p>
    <w:p w14:paraId="78288470" w14:textId="77777777" w:rsidR="00153D3D" w:rsidRPr="00153D3D" w:rsidRDefault="00153D3D" w:rsidP="00153D3D">
      <w:pPr>
        <w:autoSpaceDE/>
        <w:autoSpaceDN/>
        <w:ind w:left="540" w:hanging="540"/>
        <w:rPr>
          <w:rFonts w:cs="Arial"/>
          <w:szCs w:val="22"/>
        </w:rPr>
      </w:pPr>
      <w:r w:rsidRPr="00153D3D">
        <w:rPr>
          <w:rFonts w:cs="Arial"/>
          <w:szCs w:val="22"/>
        </w:rPr>
        <w:t xml:space="preserve">Fredendall RJ, Stone JL, </w:t>
      </w:r>
      <w:proofErr w:type="spellStart"/>
      <w:r w:rsidRPr="00153D3D">
        <w:rPr>
          <w:rFonts w:cs="Arial"/>
          <w:szCs w:val="22"/>
        </w:rPr>
        <w:t>Pehl</w:t>
      </w:r>
      <w:proofErr w:type="spellEnd"/>
      <w:r w:rsidRPr="00153D3D">
        <w:rPr>
          <w:rFonts w:cs="Arial"/>
          <w:szCs w:val="22"/>
        </w:rPr>
        <w:t xml:space="preserve"> MJ, and </w:t>
      </w:r>
      <w:r w:rsidRPr="00153D3D">
        <w:rPr>
          <w:rFonts w:cs="Arial"/>
          <w:b/>
          <w:bCs/>
          <w:szCs w:val="22"/>
        </w:rPr>
        <w:t>Orwin PM</w:t>
      </w:r>
      <w:r w:rsidRPr="00153D3D">
        <w:rPr>
          <w:rFonts w:cs="Arial"/>
          <w:szCs w:val="22"/>
        </w:rPr>
        <w:t xml:space="preserve">. (2020) Transcriptome profiling of </w:t>
      </w:r>
      <w:proofErr w:type="spellStart"/>
      <w:r w:rsidRPr="00153D3D">
        <w:rPr>
          <w:rFonts w:cs="Arial"/>
          <w:i/>
          <w:iCs/>
          <w:szCs w:val="22"/>
        </w:rPr>
        <w:t>Variovorax</w:t>
      </w:r>
      <w:proofErr w:type="spellEnd"/>
      <w:r w:rsidRPr="00153D3D">
        <w:rPr>
          <w:rFonts w:cs="Arial"/>
          <w:i/>
          <w:iCs/>
          <w:szCs w:val="22"/>
        </w:rPr>
        <w:t xml:space="preserve"> paradoxus</w:t>
      </w:r>
      <w:r w:rsidRPr="00153D3D">
        <w:rPr>
          <w:rFonts w:cs="Arial"/>
          <w:szCs w:val="22"/>
        </w:rPr>
        <w:t xml:space="preserve"> EPS under different growth conditions reveals regulatory and structural novelty in biofilm formation.  Access Microbiology DOI 10.1099/acmi.0.000121</w:t>
      </w:r>
    </w:p>
    <w:p w14:paraId="1C845922" w14:textId="77777777" w:rsidR="00153D3D" w:rsidRPr="00153D3D" w:rsidRDefault="00153D3D" w:rsidP="00153D3D">
      <w:pPr>
        <w:adjustRightInd w:val="0"/>
        <w:ind w:left="540" w:hanging="540"/>
        <w:rPr>
          <w:rFonts w:cs="Arial"/>
          <w:color w:val="000000"/>
          <w:szCs w:val="22"/>
        </w:rPr>
      </w:pPr>
      <w:proofErr w:type="spellStart"/>
      <w:r w:rsidRPr="00153D3D">
        <w:rPr>
          <w:rFonts w:cs="Arial"/>
          <w:szCs w:val="22"/>
        </w:rPr>
        <w:t>Pehl</w:t>
      </w:r>
      <w:proofErr w:type="spellEnd"/>
      <w:r w:rsidRPr="00153D3D">
        <w:rPr>
          <w:rFonts w:cs="Arial"/>
          <w:szCs w:val="22"/>
        </w:rPr>
        <w:t xml:space="preserve"> MJ, Jamieson WD, Kong K, Fredendall RJ, </w:t>
      </w:r>
      <w:proofErr w:type="spellStart"/>
      <w:r w:rsidRPr="00153D3D">
        <w:rPr>
          <w:rFonts w:cs="Arial"/>
          <w:szCs w:val="22"/>
        </w:rPr>
        <w:t>Forbester</w:t>
      </w:r>
      <w:proofErr w:type="spellEnd"/>
      <w:r w:rsidRPr="00153D3D">
        <w:rPr>
          <w:rFonts w:cs="Arial"/>
          <w:szCs w:val="22"/>
        </w:rPr>
        <w:t xml:space="preserve"> JL, Healy JM, Gregory GA, McFarland JE, and </w:t>
      </w:r>
      <w:r w:rsidRPr="00153D3D">
        <w:rPr>
          <w:rFonts w:cs="Arial"/>
          <w:b/>
          <w:szCs w:val="22"/>
        </w:rPr>
        <w:t>Orwin PM</w:t>
      </w:r>
      <w:r w:rsidRPr="00153D3D">
        <w:rPr>
          <w:rFonts w:cs="Arial"/>
          <w:szCs w:val="22"/>
        </w:rPr>
        <w:t xml:space="preserve">. (2012).  </w:t>
      </w:r>
      <w:r w:rsidRPr="00153D3D">
        <w:rPr>
          <w:rFonts w:cs="Arial"/>
          <w:color w:val="000000"/>
          <w:szCs w:val="22"/>
        </w:rPr>
        <w:t xml:space="preserve">Genes that Influence Swarming Motility and Biofilm formation in </w:t>
      </w:r>
      <w:proofErr w:type="spellStart"/>
      <w:r w:rsidRPr="00153D3D">
        <w:rPr>
          <w:rFonts w:cs="Arial"/>
          <w:color w:val="000000"/>
          <w:szCs w:val="22"/>
        </w:rPr>
        <w:t>Variovorax</w:t>
      </w:r>
      <w:proofErr w:type="spellEnd"/>
      <w:r w:rsidRPr="00153D3D">
        <w:rPr>
          <w:rFonts w:cs="Arial"/>
          <w:color w:val="000000"/>
          <w:szCs w:val="22"/>
        </w:rPr>
        <w:t xml:space="preserve"> paradoxus EPS.  </w:t>
      </w:r>
      <w:proofErr w:type="spellStart"/>
      <w:r w:rsidRPr="00153D3D">
        <w:rPr>
          <w:rFonts w:cs="Arial"/>
          <w:color w:val="000000"/>
          <w:szCs w:val="22"/>
        </w:rPr>
        <w:t>PloS</w:t>
      </w:r>
      <w:proofErr w:type="spellEnd"/>
      <w:r w:rsidRPr="00153D3D">
        <w:rPr>
          <w:rFonts w:cs="Arial"/>
          <w:color w:val="000000"/>
          <w:szCs w:val="22"/>
        </w:rPr>
        <w:t xml:space="preserve"> one </w:t>
      </w:r>
      <w:r w:rsidRPr="00153D3D">
        <w:rPr>
          <w:rFonts w:cs="Arial"/>
          <w:szCs w:val="22"/>
        </w:rPr>
        <w:t>7 (2), e31832</w:t>
      </w:r>
    </w:p>
    <w:p w14:paraId="1C5C1DC2" w14:textId="77777777" w:rsidR="00153D3D" w:rsidRPr="00153D3D" w:rsidRDefault="00153D3D" w:rsidP="00153D3D">
      <w:pPr>
        <w:adjustRightInd w:val="0"/>
        <w:ind w:left="540" w:hanging="540"/>
        <w:rPr>
          <w:rFonts w:cs="Arial"/>
          <w:color w:val="000000"/>
          <w:szCs w:val="22"/>
        </w:rPr>
      </w:pPr>
      <w:r w:rsidRPr="00153D3D">
        <w:rPr>
          <w:rFonts w:cs="Arial"/>
          <w:szCs w:val="22"/>
        </w:rPr>
        <w:t xml:space="preserve">Han J-I, Choi H-K, Lee S-W, </w:t>
      </w:r>
      <w:r w:rsidRPr="00153D3D">
        <w:rPr>
          <w:rFonts w:cs="Arial"/>
          <w:b/>
          <w:szCs w:val="22"/>
        </w:rPr>
        <w:t>Orwin PM</w:t>
      </w:r>
      <w:r w:rsidRPr="00153D3D">
        <w:rPr>
          <w:rFonts w:cs="Arial"/>
          <w:szCs w:val="22"/>
        </w:rPr>
        <w:t xml:space="preserve">, Kim J, </w:t>
      </w:r>
      <w:proofErr w:type="spellStart"/>
      <w:r w:rsidRPr="00153D3D">
        <w:rPr>
          <w:rFonts w:cs="Arial"/>
          <w:szCs w:val="22"/>
        </w:rPr>
        <w:t>Laroe</w:t>
      </w:r>
      <w:proofErr w:type="spellEnd"/>
      <w:r w:rsidRPr="00153D3D">
        <w:rPr>
          <w:rFonts w:cs="Arial"/>
          <w:szCs w:val="22"/>
        </w:rPr>
        <w:t xml:space="preserve"> SL, Kim T-G, et al. (2011). Complete genome sequence of the metabolically versatile plant growth-promoting endophyte </w:t>
      </w:r>
      <w:proofErr w:type="spellStart"/>
      <w:r w:rsidRPr="00153D3D">
        <w:rPr>
          <w:rFonts w:cs="Arial"/>
          <w:szCs w:val="22"/>
        </w:rPr>
        <w:t>Variovorax</w:t>
      </w:r>
      <w:proofErr w:type="spellEnd"/>
      <w:r w:rsidRPr="00153D3D">
        <w:rPr>
          <w:rFonts w:cs="Arial"/>
          <w:szCs w:val="22"/>
        </w:rPr>
        <w:t xml:space="preserve"> paradoxus S110. </w:t>
      </w:r>
      <w:proofErr w:type="spellStart"/>
      <w:proofErr w:type="gramStart"/>
      <w:r w:rsidRPr="00153D3D">
        <w:rPr>
          <w:rFonts w:cs="Arial"/>
          <w:iCs/>
          <w:szCs w:val="22"/>
        </w:rPr>
        <w:t>J.Bacteriol</w:t>
      </w:r>
      <w:proofErr w:type="spellEnd"/>
      <w:proofErr w:type="gramEnd"/>
      <w:r w:rsidRPr="00153D3D">
        <w:rPr>
          <w:rFonts w:cs="Arial"/>
          <w:iCs/>
          <w:szCs w:val="22"/>
        </w:rPr>
        <w:t>.</w:t>
      </w:r>
      <w:r w:rsidRPr="00153D3D">
        <w:rPr>
          <w:rFonts w:cs="Arial"/>
          <w:szCs w:val="22"/>
        </w:rPr>
        <w:t xml:space="preserve">, </w:t>
      </w:r>
      <w:r w:rsidRPr="00153D3D">
        <w:rPr>
          <w:rFonts w:cs="Arial"/>
          <w:iCs/>
          <w:szCs w:val="22"/>
        </w:rPr>
        <w:t>193</w:t>
      </w:r>
      <w:r w:rsidRPr="00153D3D">
        <w:rPr>
          <w:rFonts w:cs="Arial"/>
          <w:szCs w:val="22"/>
        </w:rPr>
        <w:t>(5), 1183-90.</w:t>
      </w:r>
    </w:p>
    <w:p w14:paraId="14EE5BFE" w14:textId="77777777" w:rsidR="00153D3D" w:rsidRPr="00153D3D" w:rsidRDefault="00153D3D" w:rsidP="00153D3D">
      <w:pPr>
        <w:adjustRightInd w:val="0"/>
        <w:ind w:left="540" w:hanging="540"/>
        <w:rPr>
          <w:rFonts w:cs="Arial"/>
          <w:szCs w:val="22"/>
        </w:rPr>
      </w:pPr>
      <w:r w:rsidRPr="00153D3D">
        <w:rPr>
          <w:rFonts w:cs="Arial"/>
          <w:szCs w:val="22"/>
        </w:rPr>
        <w:t xml:space="preserve">Jamieson WD, </w:t>
      </w:r>
      <w:proofErr w:type="spellStart"/>
      <w:r w:rsidRPr="00153D3D">
        <w:rPr>
          <w:rFonts w:cs="Arial"/>
          <w:szCs w:val="22"/>
        </w:rPr>
        <w:t>Pehl</w:t>
      </w:r>
      <w:proofErr w:type="spellEnd"/>
      <w:r w:rsidRPr="00153D3D">
        <w:rPr>
          <w:rFonts w:cs="Arial"/>
          <w:szCs w:val="22"/>
        </w:rPr>
        <w:t xml:space="preserve"> MJ, Gregory GA, and </w:t>
      </w:r>
      <w:r w:rsidRPr="00153D3D">
        <w:rPr>
          <w:rFonts w:cs="Arial"/>
          <w:b/>
          <w:szCs w:val="22"/>
        </w:rPr>
        <w:t>Orwin PM</w:t>
      </w:r>
      <w:r w:rsidRPr="00153D3D">
        <w:rPr>
          <w:rFonts w:cs="Arial"/>
          <w:szCs w:val="22"/>
        </w:rPr>
        <w:t xml:space="preserve">.  (2009).  Coordinated Surface activities in </w:t>
      </w:r>
      <w:proofErr w:type="spellStart"/>
      <w:r w:rsidRPr="00153D3D">
        <w:rPr>
          <w:rFonts w:cs="Arial"/>
          <w:i/>
          <w:szCs w:val="22"/>
        </w:rPr>
        <w:t>Variovorax</w:t>
      </w:r>
      <w:proofErr w:type="spellEnd"/>
      <w:r w:rsidRPr="00153D3D">
        <w:rPr>
          <w:rFonts w:cs="Arial"/>
          <w:i/>
          <w:szCs w:val="22"/>
        </w:rPr>
        <w:t xml:space="preserve"> paradoxus </w:t>
      </w:r>
      <w:r w:rsidRPr="00153D3D">
        <w:rPr>
          <w:rFonts w:cs="Arial"/>
          <w:szCs w:val="22"/>
        </w:rPr>
        <w:t>EPS.  BMC Microbiology 9:124.</w:t>
      </w:r>
    </w:p>
    <w:p w14:paraId="174BE1D0" w14:textId="77777777" w:rsidR="00153D3D" w:rsidRPr="00153D3D" w:rsidRDefault="00153D3D" w:rsidP="00153D3D">
      <w:pPr>
        <w:autoSpaceDE/>
        <w:autoSpaceDN/>
        <w:rPr>
          <w:rFonts w:cs="Arial"/>
          <w:szCs w:val="22"/>
        </w:rPr>
      </w:pPr>
    </w:p>
    <w:p w14:paraId="5522A76D" w14:textId="7BDA1F7E" w:rsidR="00153D3D" w:rsidRPr="00153D3D" w:rsidRDefault="00153D3D" w:rsidP="00153D3D">
      <w:pPr>
        <w:pStyle w:val="ListParagraph"/>
        <w:numPr>
          <w:ilvl w:val="0"/>
          <w:numId w:val="27"/>
        </w:numPr>
        <w:autoSpaceDE/>
        <w:autoSpaceDN/>
        <w:rPr>
          <w:rFonts w:ascii="Arial" w:hAnsi="Arial" w:cs="Arial"/>
          <w:b/>
          <w:bCs/>
          <w:sz w:val="22"/>
          <w:szCs w:val="22"/>
        </w:rPr>
      </w:pPr>
      <w:r w:rsidRPr="00153D3D">
        <w:rPr>
          <w:rFonts w:ascii="Arial" w:hAnsi="Arial" w:cs="Arial"/>
          <w:b/>
          <w:bCs/>
          <w:sz w:val="22"/>
          <w:szCs w:val="22"/>
        </w:rPr>
        <w:t xml:space="preserve">Genomics education and hybrid genome assembly with undergraduate and graduate students.  </w:t>
      </w:r>
      <w:r w:rsidRPr="00153D3D">
        <w:rPr>
          <w:rFonts w:ascii="Arial" w:hAnsi="Arial" w:cs="Arial"/>
          <w:sz w:val="22"/>
          <w:szCs w:val="22"/>
        </w:rPr>
        <w:t xml:space="preserve">Working with students in the classroom and in my research lab, we have developed strategies for enriching and isolating bacteria from the environment, purifying DNA and sequencing the genomes using Illumina iSeq100 and Oxford Nanopore </w:t>
      </w:r>
      <w:proofErr w:type="spellStart"/>
      <w:r w:rsidRPr="00153D3D">
        <w:rPr>
          <w:rFonts w:ascii="Arial" w:hAnsi="Arial" w:cs="Arial"/>
          <w:sz w:val="22"/>
          <w:szCs w:val="22"/>
        </w:rPr>
        <w:t>MinION</w:t>
      </w:r>
      <w:proofErr w:type="spellEnd"/>
      <w:r w:rsidRPr="00153D3D">
        <w:rPr>
          <w:rFonts w:ascii="Arial" w:hAnsi="Arial" w:cs="Arial"/>
          <w:sz w:val="22"/>
          <w:szCs w:val="22"/>
        </w:rPr>
        <w:t xml:space="preserve"> instruments. We have developed workflows for hybrid genome assembly and publication of these genomes in the journal Microbial Resource Announcements. This work is part of an overall goal to expose our undergraduate biology students to the process of genomic data acquisition, analysis, and publication in the context of inquiry based education. This work will prepare these students to pursue advanced training in microbiology and bioinformatics.</w:t>
      </w:r>
      <w:r w:rsidR="00731DE6">
        <w:rPr>
          <w:rFonts w:ascii="Arial" w:hAnsi="Arial" w:cs="Arial"/>
          <w:sz w:val="22"/>
          <w:szCs w:val="22"/>
        </w:rPr>
        <w:t xml:space="preserve"> Many of these projects began in undergraduate courses that I taught, and subsequently oversaw the sequencing and assembly of the genomes, as well as manuscript preparation.</w:t>
      </w:r>
    </w:p>
    <w:p w14:paraId="2D7DE9A6" w14:textId="77777777" w:rsidR="00153D3D" w:rsidRPr="00153D3D" w:rsidRDefault="00153D3D" w:rsidP="00153D3D">
      <w:pPr>
        <w:autoSpaceDE/>
        <w:autoSpaceDN/>
        <w:ind w:left="540" w:hanging="540"/>
        <w:rPr>
          <w:rFonts w:cs="Arial"/>
          <w:szCs w:val="22"/>
        </w:rPr>
      </w:pPr>
    </w:p>
    <w:p w14:paraId="5279521B" w14:textId="6BF0B8F6" w:rsidR="00153D3D" w:rsidRDefault="00153D3D" w:rsidP="00153D3D">
      <w:pPr>
        <w:shd w:val="clear" w:color="auto" w:fill="FFFFFF"/>
        <w:autoSpaceDE/>
        <w:autoSpaceDN/>
        <w:ind w:left="540" w:hanging="540"/>
        <w:textAlignment w:val="baseline"/>
        <w:rPr>
          <w:rFonts w:cs="Arial"/>
          <w:color w:val="000000"/>
          <w:szCs w:val="22"/>
          <w:bdr w:val="none" w:sz="0" w:space="0" w:color="auto" w:frame="1"/>
        </w:rPr>
      </w:pPr>
      <w:r w:rsidRPr="00153D3D">
        <w:rPr>
          <w:rFonts w:cs="Arial"/>
          <w:color w:val="000000"/>
          <w:szCs w:val="22"/>
          <w:bdr w:val="none" w:sz="0" w:space="0" w:color="auto" w:frame="1"/>
        </w:rPr>
        <w:t>Ne Ville C, Enright D, Hernandez I, </w:t>
      </w:r>
      <w:proofErr w:type="spellStart"/>
      <w:r w:rsidRPr="00153D3D">
        <w:rPr>
          <w:rFonts w:cs="Arial"/>
          <w:color w:val="000000"/>
          <w:szCs w:val="22"/>
          <w:bdr w:val="none" w:sz="0" w:space="0" w:color="auto" w:frame="1"/>
        </w:rPr>
        <w:t>Dodsworth</w:t>
      </w:r>
      <w:proofErr w:type="spellEnd"/>
      <w:r w:rsidRPr="00153D3D">
        <w:rPr>
          <w:rFonts w:cs="Arial"/>
          <w:color w:val="000000"/>
          <w:szCs w:val="22"/>
          <w:bdr w:val="none" w:sz="0" w:space="0" w:color="auto" w:frame="1"/>
        </w:rPr>
        <w:t xml:space="preserve"> JA, </w:t>
      </w:r>
      <w:r w:rsidRPr="00153D3D">
        <w:rPr>
          <w:rFonts w:cs="Arial"/>
          <w:b/>
          <w:bCs/>
          <w:color w:val="000000"/>
          <w:szCs w:val="22"/>
          <w:bdr w:val="none" w:sz="0" w:space="0" w:color="auto" w:frame="1"/>
        </w:rPr>
        <w:t>Orwin PM</w:t>
      </w:r>
      <w:r w:rsidRPr="00153D3D">
        <w:rPr>
          <w:rFonts w:cs="Arial"/>
          <w:color w:val="000000"/>
          <w:szCs w:val="22"/>
          <w:bdr w:val="none" w:sz="0" w:space="0" w:color="auto" w:frame="1"/>
        </w:rPr>
        <w:t>.</w:t>
      </w:r>
      <w:r w:rsidRPr="00153D3D">
        <w:rPr>
          <w:rFonts w:cs="Arial"/>
          <w:color w:val="000000"/>
          <w:szCs w:val="22"/>
        </w:rPr>
        <w:t>(2020). Complete Genome Sequences of </w:t>
      </w:r>
      <w:r w:rsidRPr="00153D3D">
        <w:rPr>
          <w:rFonts w:cs="Arial"/>
          <w:i/>
          <w:iCs/>
          <w:color w:val="000000"/>
          <w:szCs w:val="22"/>
          <w:bdr w:val="none" w:sz="0" w:space="0" w:color="auto" w:frame="1"/>
        </w:rPr>
        <w:t xml:space="preserve">Pseudomonas </w:t>
      </w:r>
      <w:proofErr w:type="spellStart"/>
      <w:r w:rsidRPr="00153D3D">
        <w:rPr>
          <w:rFonts w:cs="Arial"/>
          <w:i/>
          <w:iCs/>
          <w:color w:val="000000"/>
          <w:szCs w:val="22"/>
          <w:bdr w:val="none" w:sz="0" w:space="0" w:color="auto" w:frame="1"/>
        </w:rPr>
        <w:t>alkylphenolica</w:t>
      </w:r>
      <w:proofErr w:type="spellEnd"/>
      <w:r w:rsidRPr="00153D3D">
        <w:rPr>
          <w:rFonts w:cs="Arial"/>
          <w:color w:val="000000"/>
          <w:szCs w:val="22"/>
        </w:rPr>
        <w:t> Neo and </w:t>
      </w:r>
      <w:proofErr w:type="spellStart"/>
      <w:r w:rsidRPr="00153D3D">
        <w:rPr>
          <w:rFonts w:cs="Arial"/>
          <w:i/>
          <w:iCs/>
          <w:color w:val="000000"/>
          <w:szCs w:val="22"/>
          <w:bdr w:val="none" w:sz="0" w:space="0" w:color="auto" w:frame="1"/>
        </w:rPr>
        <w:t>Variovorax</w:t>
      </w:r>
      <w:proofErr w:type="spellEnd"/>
      <w:r w:rsidRPr="00153D3D">
        <w:rPr>
          <w:rFonts w:cs="Arial"/>
          <w:color w:val="000000"/>
          <w:szCs w:val="22"/>
        </w:rPr>
        <w:t xml:space="preserve"> sp. Strain CSUSB, Obtained in Undergraduate Microbiology Courses Using a Hybrid Assembly Approach. </w:t>
      </w:r>
      <w:r w:rsidRPr="00153D3D">
        <w:rPr>
          <w:rFonts w:cs="Arial"/>
          <w:color w:val="000000"/>
          <w:szCs w:val="22"/>
          <w:bdr w:val="none" w:sz="0" w:space="0" w:color="auto" w:frame="1"/>
        </w:rPr>
        <w:t>Microbiology Resource Announcements (9) e01520-19</w:t>
      </w:r>
    </w:p>
    <w:p w14:paraId="0CF4A59D" w14:textId="338F2DD1" w:rsidR="00C717FF" w:rsidRDefault="00C717FF" w:rsidP="00153D3D">
      <w:pPr>
        <w:shd w:val="clear" w:color="auto" w:fill="FFFFFF"/>
        <w:autoSpaceDE/>
        <w:autoSpaceDN/>
        <w:ind w:left="540" w:hanging="540"/>
        <w:textAlignment w:val="baseline"/>
        <w:rPr>
          <w:rFonts w:cs="Arial"/>
          <w:color w:val="000000"/>
          <w:szCs w:val="22"/>
          <w:bdr w:val="none" w:sz="0" w:space="0" w:color="auto" w:frame="1"/>
        </w:rPr>
      </w:pPr>
      <w:r>
        <w:rPr>
          <w:rFonts w:cs="Arial"/>
          <w:color w:val="000000"/>
          <w:szCs w:val="22"/>
          <w:bdr w:val="none" w:sz="0" w:space="0" w:color="auto" w:frame="1"/>
        </w:rPr>
        <w:t xml:space="preserve">Sanders C and </w:t>
      </w:r>
      <w:r w:rsidRPr="00C717FF">
        <w:rPr>
          <w:rFonts w:cs="Arial"/>
          <w:b/>
          <w:bCs/>
          <w:color w:val="000000"/>
          <w:szCs w:val="22"/>
          <w:bdr w:val="none" w:sz="0" w:space="0" w:color="auto" w:frame="1"/>
        </w:rPr>
        <w:t xml:space="preserve">Orwin </w:t>
      </w:r>
      <w:proofErr w:type="gramStart"/>
      <w:r w:rsidRPr="00C717FF">
        <w:rPr>
          <w:rFonts w:cs="Arial"/>
          <w:b/>
          <w:bCs/>
          <w:color w:val="000000"/>
          <w:szCs w:val="22"/>
          <w:bdr w:val="none" w:sz="0" w:space="0" w:color="auto" w:frame="1"/>
        </w:rPr>
        <w:t>PM</w:t>
      </w:r>
      <w:r>
        <w:rPr>
          <w:rFonts w:cs="Arial"/>
          <w:color w:val="000000"/>
          <w:szCs w:val="22"/>
          <w:bdr w:val="none" w:sz="0" w:space="0" w:color="auto" w:frame="1"/>
        </w:rPr>
        <w:t>.(</w:t>
      </w:r>
      <w:proofErr w:type="gramEnd"/>
      <w:r>
        <w:rPr>
          <w:rFonts w:cs="Arial"/>
          <w:color w:val="000000"/>
          <w:szCs w:val="22"/>
          <w:bdr w:val="none" w:sz="0" w:space="0" w:color="auto" w:frame="1"/>
        </w:rPr>
        <w:t>2019) Sequencing and Hybrid Assembly of Antibiotic Resistant Bacteria from an Undergraduate Microbiology Course. Presented at the Southern California Conference on Undergraduate Research, October 2019.</w:t>
      </w:r>
    </w:p>
    <w:p w14:paraId="39E1F253" w14:textId="49FC133B" w:rsidR="00C717FF" w:rsidRDefault="00C717FF" w:rsidP="00153D3D">
      <w:pPr>
        <w:shd w:val="clear" w:color="auto" w:fill="FFFFFF"/>
        <w:autoSpaceDE/>
        <w:autoSpaceDN/>
        <w:ind w:left="540" w:hanging="540"/>
        <w:textAlignment w:val="baseline"/>
        <w:rPr>
          <w:rFonts w:cs="Arial"/>
          <w:color w:val="000000"/>
          <w:szCs w:val="22"/>
          <w:bdr w:val="none" w:sz="0" w:space="0" w:color="auto" w:frame="1"/>
        </w:rPr>
      </w:pPr>
      <w:r>
        <w:rPr>
          <w:rFonts w:cs="Arial"/>
          <w:color w:val="000000"/>
          <w:szCs w:val="22"/>
          <w:bdr w:val="none" w:sz="0" w:space="0" w:color="auto" w:frame="1"/>
        </w:rPr>
        <w:t xml:space="preserve">Perez-Marron J, Ne Ville C, </w:t>
      </w:r>
      <w:proofErr w:type="spellStart"/>
      <w:r>
        <w:rPr>
          <w:rFonts w:cs="Arial"/>
          <w:color w:val="000000"/>
          <w:szCs w:val="22"/>
          <w:bdr w:val="none" w:sz="0" w:space="0" w:color="auto" w:frame="1"/>
        </w:rPr>
        <w:t>Dodsworth</w:t>
      </w:r>
      <w:proofErr w:type="spellEnd"/>
      <w:r>
        <w:rPr>
          <w:rFonts w:cs="Arial"/>
          <w:color w:val="000000"/>
          <w:szCs w:val="22"/>
          <w:bdr w:val="none" w:sz="0" w:space="0" w:color="auto" w:frame="1"/>
        </w:rPr>
        <w:t xml:space="preserve"> JA, </w:t>
      </w:r>
      <w:proofErr w:type="spellStart"/>
      <w:r>
        <w:rPr>
          <w:rFonts w:cs="Arial"/>
          <w:color w:val="000000"/>
          <w:szCs w:val="22"/>
          <w:bdr w:val="none" w:sz="0" w:space="0" w:color="auto" w:frame="1"/>
        </w:rPr>
        <w:t>Owerkowicz</w:t>
      </w:r>
      <w:proofErr w:type="spellEnd"/>
      <w:r>
        <w:rPr>
          <w:rFonts w:cs="Arial"/>
          <w:color w:val="000000"/>
          <w:szCs w:val="22"/>
          <w:bdr w:val="none" w:sz="0" w:space="0" w:color="auto" w:frame="1"/>
        </w:rPr>
        <w:t xml:space="preserve"> T, and </w:t>
      </w:r>
      <w:r w:rsidRPr="00C717FF">
        <w:rPr>
          <w:rFonts w:cs="Arial"/>
          <w:b/>
          <w:bCs/>
          <w:color w:val="000000"/>
          <w:szCs w:val="22"/>
          <w:bdr w:val="none" w:sz="0" w:space="0" w:color="auto" w:frame="1"/>
        </w:rPr>
        <w:t>Orwin PM</w:t>
      </w:r>
      <w:r>
        <w:rPr>
          <w:rFonts w:cs="Arial"/>
          <w:color w:val="000000"/>
          <w:szCs w:val="22"/>
          <w:bdr w:val="none" w:sz="0" w:space="0" w:color="auto" w:frame="1"/>
        </w:rPr>
        <w:t xml:space="preserve">. (2019). The oral microbiome of Alligator </w:t>
      </w:r>
      <w:proofErr w:type="spellStart"/>
      <w:r>
        <w:rPr>
          <w:rFonts w:cs="Arial"/>
          <w:color w:val="000000"/>
          <w:szCs w:val="22"/>
          <w:bdr w:val="none" w:sz="0" w:space="0" w:color="auto" w:frame="1"/>
        </w:rPr>
        <w:t>mississippiensis</w:t>
      </w:r>
      <w:proofErr w:type="spellEnd"/>
      <w:r>
        <w:rPr>
          <w:rFonts w:cs="Arial"/>
          <w:color w:val="000000"/>
          <w:szCs w:val="22"/>
          <w:bdr w:val="none" w:sz="0" w:space="0" w:color="auto" w:frame="1"/>
        </w:rPr>
        <w:t xml:space="preserve"> varies with age. Presented at ASM Microbe June 2019.</w:t>
      </w:r>
    </w:p>
    <w:p w14:paraId="0DDE1F12" w14:textId="77777777" w:rsidR="00C717FF" w:rsidRPr="00153D3D" w:rsidRDefault="00C717FF" w:rsidP="00153D3D">
      <w:pPr>
        <w:shd w:val="clear" w:color="auto" w:fill="FFFFFF"/>
        <w:autoSpaceDE/>
        <w:autoSpaceDN/>
        <w:ind w:left="540" w:hanging="540"/>
        <w:textAlignment w:val="baseline"/>
        <w:rPr>
          <w:rFonts w:cs="Arial"/>
          <w:color w:val="000000"/>
          <w:szCs w:val="22"/>
          <w:bdr w:val="none" w:sz="0" w:space="0" w:color="auto" w:frame="1"/>
        </w:rPr>
      </w:pPr>
    </w:p>
    <w:p w14:paraId="134FB69E" w14:textId="77777777" w:rsidR="00153D3D" w:rsidRPr="00153D3D" w:rsidRDefault="00153D3D" w:rsidP="00153D3D">
      <w:pPr>
        <w:shd w:val="clear" w:color="auto" w:fill="FFFFFF"/>
        <w:autoSpaceDE/>
        <w:autoSpaceDN/>
        <w:ind w:left="540" w:hanging="540"/>
        <w:textAlignment w:val="baseline"/>
        <w:rPr>
          <w:rFonts w:cs="Arial"/>
          <w:color w:val="000000"/>
          <w:szCs w:val="22"/>
          <w:bdr w:val="none" w:sz="0" w:space="0" w:color="auto" w:frame="1"/>
        </w:rPr>
      </w:pPr>
    </w:p>
    <w:p w14:paraId="741D98F2" w14:textId="77777777" w:rsidR="00153D3D" w:rsidRPr="00153D3D" w:rsidRDefault="00153D3D" w:rsidP="00153D3D">
      <w:pPr>
        <w:pStyle w:val="ListParagraph"/>
        <w:numPr>
          <w:ilvl w:val="0"/>
          <w:numId w:val="27"/>
        </w:numPr>
        <w:shd w:val="clear" w:color="auto" w:fill="FFFFFF"/>
        <w:autoSpaceDE/>
        <w:autoSpaceDN/>
        <w:textAlignment w:val="baseline"/>
        <w:rPr>
          <w:rFonts w:ascii="Arial" w:hAnsi="Arial" w:cs="Arial"/>
          <w:color w:val="000000"/>
          <w:sz w:val="22"/>
          <w:szCs w:val="22"/>
        </w:rPr>
      </w:pPr>
      <w:proofErr w:type="spellStart"/>
      <w:r w:rsidRPr="00153D3D">
        <w:rPr>
          <w:rFonts w:ascii="Arial" w:hAnsi="Arial" w:cs="Arial"/>
          <w:b/>
          <w:bCs/>
          <w:color w:val="000000"/>
          <w:sz w:val="22"/>
          <w:szCs w:val="22"/>
        </w:rPr>
        <w:t>Superantigenic</w:t>
      </w:r>
      <w:proofErr w:type="spellEnd"/>
      <w:r w:rsidRPr="00153D3D">
        <w:rPr>
          <w:rFonts w:ascii="Arial" w:hAnsi="Arial" w:cs="Arial"/>
          <w:b/>
          <w:bCs/>
          <w:color w:val="000000"/>
          <w:sz w:val="22"/>
          <w:szCs w:val="22"/>
        </w:rPr>
        <w:t xml:space="preserve"> toxins in </w:t>
      </w:r>
      <w:r w:rsidRPr="00153D3D">
        <w:rPr>
          <w:rFonts w:ascii="Arial" w:hAnsi="Arial" w:cs="Arial"/>
          <w:b/>
          <w:bCs/>
          <w:i/>
          <w:iCs/>
          <w:color w:val="000000"/>
          <w:sz w:val="22"/>
          <w:szCs w:val="22"/>
        </w:rPr>
        <w:t>Staphylococcus aureus.</w:t>
      </w:r>
      <w:r w:rsidRPr="00153D3D">
        <w:rPr>
          <w:rFonts w:ascii="Arial" w:hAnsi="Arial" w:cs="Arial"/>
          <w:i/>
          <w:iCs/>
          <w:color w:val="000000"/>
          <w:sz w:val="22"/>
          <w:szCs w:val="22"/>
        </w:rPr>
        <w:t xml:space="preserve"> </w:t>
      </w:r>
      <w:r w:rsidRPr="00153D3D">
        <w:rPr>
          <w:rFonts w:ascii="Arial" w:hAnsi="Arial" w:cs="Arial"/>
          <w:color w:val="000000"/>
          <w:sz w:val="22"/>
          <w:szCs w:val="22"/>
        </w:rPr>
        <w:t xml:space="preserve">As a graduate student I was involved in the discovery of multiple </w:t>
      </w:r>
      <w:proofErr w:type="spellStart"/>
      <w:r w:rsidRPr="00153D3D">
        <w:rPr>
          <w:rFonts w:ascii="Arial" w:hAnsi="Arial" w:cs="Arial"/>
          <w:color w:val="000000"/>
          <w:sz w:val="22"/>
          <w:szCs w:val="22"/>
        </w:rPr>
        <w:t>superantigenic</w:t>
      </w:r>
      <w:proofErr w:type="spellEnd"/>
      <w:r w:rsidRPr="00153D3D">
        <w:rPr>
          <w:rFonts w:ascii="Arial" w:hAnsi="Arial" w:cs="Arial"/>
          <w:color w:val="000000"/>
          <w:sz w:val="22"/>
          <w:szCs w:val="22"/>
        </w:rPr>
        <w:t xml:space="preserve"> exotoxins present in the genomes of </w:t>
      </w:r>
      <w:r w:rsidRPr="00153D3D">
        <w:rPr>
          <w:rFonts w:ascii="Arial" w:hAnsi="Arial" w:cs="Arial"/>
          <w:i/>
          <w:iCs/>
          <w:color w:val="000000"/>
          <w:sz w:val="22"/>
          <w:szCs w:val="22"/>
        </w:rPr>
        <w:t>S. aureus</w:t>
      </w:r>
      <w:r w:rsidRPr="00153D3D">
        <w:rPr>
          <w:rFonts w:ascii="Arial" w:hAnsi="Arial" w:cs="Arial"/>
          <w:color w:val="000000"/>
          <w:sz w:val="22"/>
          <w:szCs w:val="22"/>
        </w:rPr>
        <w:t>, and the evaluation of their toxic properties as well as their genomic context. These toxins were present in elements that were described as Staphylococcal Pathogenicity Islands (</w:t>
      </w:r>
      <w:proofErr w:type="spellStart"/>
      <w:r w:rsidRPr="00153D3D">
        <w:rPr>
          <w:rFonts w:ascii="Arial" w:hAnsi="Arial" w:cs="Arial"/>
          <w:color w:val="000000"/>
          <w:sz w:val="22"/>
          <w:szCs w:val="22"/>
        </w:rPr>
        <w:t>SaPIs</w:t>
      </w:r>
      <w:proofErr w:type="spellEnd"/>
      <w:r w:rsidRPr="00153D3D">
        <w:rPr>
          <w:rFonts w:ascii="Arial" w:hAnsi="Arial" w:cs="Arial"/>
          <w:color w:val="000000"/>
          <w:sz w:val="22"/>
          <w:szCs w:val="22"/>
        </w:rPr>
        <w:t xml:space="preserve">) which have since been shown to be defective phage elements.  The presence of multiple </w:t>
      </w:r>
      <w:proofErr w:type="spellStart"/>
      <w:r w:rsidRPr="00153D3D">
        <w:rPr>
          <w:rFonts w:ascii="Arial" w:hAnsi="Arial" w:cs="Arial"/>
          <w:color w:val="000000"/>
          <w:sz w:val="22"/>
          <w:szCs w:val="22"/>
        </w:rPr>
        <w:t>superantigenic</w:t>
      </w:r>
      <w:proofErr w:type="spellEnd"/>
      <w:r w:rsidRPr="00153D3D">
        <w:rPr>
          <w:rFonts w:ascii="Arial" w:hAnsi="Arial" w:cs="Arial"/>
          <w:color w:val="000000"/>
          <w:sz w:val="22"/>
          <w:szCs w:val="22"/>
        </w:rPr>
        <w:t xml:space="preserve"> toxins in each of these </w:t>
      </w:r>
      <w:proofErr w:type="spellStart"/>
      <w:r w:rsidRPr="00153D3D">
        <w:rPr>
          <w:rFonts w:ascii="Arial" w:hAnsi="Arial" w:cs="Arial"/>
          <w:color w:val="000000"/>
          <w:sz w:val="22"/>
          <w:szCs w:val="22"/>
        </w:rPr>
        <w:t>SaPIs</w:t>
      </w:r>
      <w:proofErr w:type="spellEnd"/>
      <w:r w:rsidRPr="00153D3D">
        <w:rPr>
          <w:rFonts w:ascii="Arial" w:hAnsi="Arial" w:cs="Arial"/>
          <w:color w:val="000000"/>
          <w:sz w:val="22"/>
          <w:szCs w:val="22"/>
        </w:rPr>
        <w:t>, as well as the distribution of these elements across human and animal pathogen strains, provided important insights into the evolution of diversity among these elements, and their contribution to the pathogenesis of non-menstrual Toxic Shock Syndrome.</w:t>
      </w:r>
    </w:p>
    <w:p w14:paraId="2E817C0B" w14:textId="77777777" w:rsidR="00153D3D" w:rsidRPr="00153D3D" w:rsidRDefault="00153D3D" w:rsidP="00153D3D">
      <w:pPr>
        <w:pStyle w:val="ListParagraph"/>
        <w:shd w:val="clear" w:color="auto" w:fill="FFFFFF"/>
        <w:autoSpaceDE/>
        <w:autoSpaceDN/>
        <w:textAlignment w:val="baseline"/>
        <w:rPr>
          <w:rFonts w:ascii="Arial" w:hAnsi="Arial" w:cs="Arial"/>
          <w:color w:val="000000"/>
          <w:sz w:val="22"/>
          <w:szCs w:val="22"/>
        </w:rPr>
      </w:pPr>
    </w:p>
    <w:p w14:paraId="38807CDA" w14:textId="77777777" w:rsidR="00153D3D" w:rsidRPr="00153D3D" w:rsidRDefault="00153D3D" w:rsidP="00153D3D">
      <w:pPr>
        <w:shd w:val="clear" w:color="auto" w:fill="FFFFFF"/>
        <w:autoSpaceDE/>
        <w:autoSpaceDN/>
        <w:ind w:left="540" w:hanging="540"/>
        <w:textAlignment w:val="baseline"/>
        <w:rPr>
          <w:rFonts w:cs="Arial"/>
          <w:color w:val="000000"/>
          <w:szCs w:val="22"/>
          <w:bdr w:val="none" w:sz="0" w:space="0" w:color="auto" w:frame="1"/>
        </w:rPr>
      </w:pPr>
      <w:r w:rsidRPr="00153D3D">
        <w:rPr>
          <w:rFonts w:cs="Arial"/>
          <w:b/>
          <w:bCs/>
          <w:color w:val="000000"/>
          <w:szCs w:val="22"/>
          <w:bdr w:val="none" w:sz="0" w:space="0" w:color="auto" w:frame="1"/>
        </w:rPr>
        <w:t>Orwin PM</w:t>
      </w:r>
      <w:r w:rsidRPr="00153D3D">
        <w:rPr>
          <w:rFonts w:cs="Arial"/>
          <w:color w:val="000000"/>
          <w:szCs w:val="22"/>
          <w:bdr w:val="none" w:sz="0" w:space="0" w:color="auto" w:frame="1"/>
        </w:rPr>
        <w:t>, Fitzgerald JR, Leung DYM, Gutierrez JA, </w:t>
      </w:r>
      <w:proofErr w:type="spellStart"/>
      <w:r w:rsidRPr="00153D3D">
        <w:rPr>
          <w:rFonts w:cs="Arial"/>
          <w:color w:val="000000"/>
          <w:szCs w:val="22"/>
          <w:bdr w:val="none" w:sz="0" w:space="0" w:color="auto" w:frame="1"/>
        </w:rPr>
        <w:t>Bohach</w:t>
      </w:r>
      <w:proofErr w:type="spellEnd"/>
      <w:r w:rsidRPr="00153D3D">
        <w:rPr>
          <w:rFonts w:cs="Arial"/>
          <w:color w:val="000000"/>
          <w:szCs w:val="22"/>
          <w:bdr w:val="none" w:sz="0" w:space="0" w:color="auto" w:frame="1"/>
        </w:rPr>
        <w:t xml:space="preserve"> GA, </w:t>
      </w:r>
      <w:proofErr w:type="spellStart"/>
      <w:r w:rsidRPr="00153D3D">
        <w:rPr>
          <w:rFonts w:cs="Arial"/>
          <w:color w:val="000000"/>
          <w:szCs w:val="22"/>
          <w:bdr w:val="none" w:sz="0" w:space="0" w:color="auto" w:frame="1"/>
        </w:rPr>
        <w:t>Schlievert</w:t>
      </w:r>
      <w:proofErr w:type="spellEnd"/>
      <w:r w:rsidRPr="00153D3D">
        <w:rPr>
          <w:rFonts w:cs="Arial"/>
          <w:color w:val="000000"/>
          <w:szCs w:val="22"/>
          <w:bdr w:val="none" w:sz="0" w:space="0" w:color="auto" w:frame="1"/>
        </w:rPr>
        <w:t xml:space="preserve"> PM</w:t>
      </w:r>
      <w:r w:rsidRPr="00153D3D">
        <w:rPr>
          <w:rFonts w:cs="Arial"/>
          <w:color w:val="000000"/>
          <w:szCs w:val="22"/>
        </w:rPr>
        <w:t>. (2003). Characterization of </w:t>
      </w:r>
      <w:r w:rsidRPr="00153D3D">
        <w:rPr>
          <w:rFonts w:cs="Arial"/>
          <w:i/>
          <w:iCs/>
          <w:color w:val="000000"/>
          <w:szCs w:val="22"/>
          <w:bdr w:val="none" w:sz="0" w:space="0" w:color="auto" w:frame="1"/>
        </w:rPr>
        <w:t>Staphylococcus aureus</w:t>
      </w:r>
      <w:r w:rsidRPr="00153D3D">
        <w:rPr>
          <w:rFonts w:cs="Arial"/>
          <w:color w:val="000000"/>
          <w:szCs w:val="22"/>
        </w:rPr>
        <w:t xml:space="preserve"> Enterotoxin L. </w:t>
      </w:r>
      <w:r w:rsidRPr="00153D3D">
        <w:rPr>
          <w:rFonts w:cs="Arial"/>
          <w:color w:val="000000"/>
          <w:szCs w:val="22"/>
          <w:bdr w:val="none" w:sz="0" w:space="0" w:color="auto" w:frame="1"/>
        </w:rPr>
        <w:t xml:space="preserve">Infect </w:t>
      </w:r>
      <w:proofErr w:type="spellStart"/>
      <w:r w:rsidRPr="00153D3D">
        <w:rPr>
          <w:rFonts w:cs="Arial"/>
          <w:color w:val="000000"/>
          <w:szCs w:val="22"/>
          <w:bdr w:val="none" w:sz="0" w:space="0" w:color="auto" w:frame="1"/>
        </w:rPr>
        <w:t>Immun</w:t>
      </w:r>
      <w:proofErr w:type="spellEnd"/>
      <w:r w:rsidRPr="00153D3D">
        <w:rPr>
          <w:rFonts w:cs="Arial"/>
          <w:color w:val="000000"/>
          <w:szCs w:val="22"/>
          <w:bdr w:val="none" w:sz="0" w:space="0" w:color="auto" w:frame="1"/>
        </w:rPr>
        <w:t> 71 (5) 2916-2919</w:t>
      </w:r>
    </w:p>
    <w:p w14:paraId="34427C48" w14:textId="77777777" w:rsidR="00153D3D" w:rsidRPr="00153D3D" w:rsidRDefault="00153D3D" w:rsidP="00153D3D">
      <w:pPr>
        <w:tabs>
          <w:tab w:val="left" w:pos="1440"/>
          <w:tab w:val="left" w:pos="2520"/>
        </w:tabs>
        <w:ind w:left="720" w:hanging="720"/>
        <w:rPr>
          <w:rFonts w:cs="Arial"/>
          <w:szCs w:val="22"/>
        </w:rPr>
      </w:pPr>
      <w:r w:rsidRPr="00153D3D">
        <w:rPr>
          <w:rFonts w:cs="Arial"/>
          <w:b/>
          <w:szCs w:val="22"/>
        </w:rPr>
        <w:t>Orwin, PM</w:t>
      </w:r>
      <w:r w:rsidRPr="00153D3D">
        <w:rPr>
          <w:rFonts w:cs="Arial"/>
          <w:szCs w:val="22"/>
        </w:rPr>
        <w:t xml:space="preserve">, Leung DYM, Tripp TJ, </w:t>
      </w:r>
      <w:proofErr w:type="spellStart"/>
      <w:r w:rsidRPr="00153D3D">
        <w:rPr>
          <w:rFonts w:cs="Arial"/>
          <w:szCs w:val="22"/>
        </w:rPr>
        <w:t>Bohach</w:t>
      </w:r>
      <w:proofErr w:type="spellEnd"/>
      <w:r w:rsidRPr="00153D3D">
        <w:rPr>
          <w:rFonts w:cs="Arial"/>
          <w:szCs w:val="22"/>
        </w:rPr>
        <w:t xml:space="preserve"> GA, Earhart CA, </w:t>
      </w:r>
      <w:proofErr w:type="spellStart"/>
      <w:r w:rsidRPr="00153D3D">
        <w:rPr>
          <w:rFonts w:cs="Arial"/>
          <w:szCs w:val="22"/>
        </w:rPr>
        <w:t>Ohlendorf</w:t>
      </w:r>
      <w:proofErr w:type="spellEnd"/>
      <w:r w:rsidRPr="00153D3D">
        <w:rPr>
          <w:rFonts w:cs="Arial"/>
          <w:szCs w:val="22"/>
        </w:rPr>
        <w:t xml:space="preserve"> DH, and </w:t>
      </w:r>
      <w:proofErr w:type="spellStart"/>
      <w:r w:rsidRPr="00153D3D">
        <w:rPr>
          <w:rFonts w:cs="Arial"/>
          <w:szCs w:val="22"/>
        </w:rPr>
        <w:t>Schlievert</w:t>
      </w:r>
      <w:proofErr w:type="spellEnd"/>
      <w:r w:rsidRPr="00153D3D">
        <w:rPr>
          <w:rFonts w:cs="Arial"/>
          <w:szCs w:val="22"/>
        </w:rPr>
        <w:t xml:space="preserve"> PM.  2002. Characterization of a novel staphylococcal enterotoxin-like superantigen, a member of the group V subfamily of pyrogenic toxins. Biochemistry 41. 14033-14040.</w:t>
      </w:r>
    </w:p>
    <w:p w14:paraId="75A69BC3" w14:textId="77777777" w:rsidR="00153D3D" w:rsidRPr="00153D3D" w:rsidRDefault="00153D3D" w:rsidP="00153D3D">
      <w:pPr>
        <w:tabs>
          <w:tab w:val="left" w:pos="1440"/>
          <w:tab w:val="left" w:pos="2520"/>
        </w:tabs>
        <w:ind w:left="720" w:hanging="720"/>
        <w:rPr>
          <w:rFonts w:cs="Arial"/>
          <w:szCs w:val="22"/>
        </w:rPr>
      </w:pPr>
      <w:proofErr w:type="spellStart"/>
      <w:r w:rsidRPr="00153D3D">
        <w:rPr>
          <w:rFonts w:cs="Arial"/>
          <w:szCs w:val="22"/>
        </w:rPr>
        <w:t>Yarwood</w:t>
      </w:r>
      <w:proofErr w:type="spellEnd"/>
      <w:r w:rsidRPr="00153D3D">
        <w:rPr>
          <w:rFonts w:cs="Arial"/>
          <w:szCs w:val="22"/>
        </w:rPr>
        <w:t xml:space="preserve"> JM, McCormick JK, </w:t>
      </w:r>
      <w:proofErr w:type="spellStart"/>
      <w:r w:rsidRPr="00153D3D">
        <w:rPr>
          <w:rFonts w:cs="Arial"/>
          <w:szCs w:val="22"/>
        </w:rPr>
        <w:t>Paustian</w:t>
      </w:r>
      <w:proofErr w:type="spellEnd"/>
      <w:r w:rsidRPr="00153D3D">
        <w:rPr>
          <w:rFonts w:cs="Arial"/>
          <w:szCs w:val="22"/>
        </w:rPr>
        <w:t xml:space="preserve"> ML, </w:t>
      </w:r>
      <w:r w:rsidRPr="00153D3D">
        <w:rPr>
          <w:rFonts w:cs="Arial"/>
          <w:b/>
          <w:szCs w:val="22"/>
        </w:rPr>
        <w:t>Orwin PM</w:t>
      </w:r>
      <w:r w:rsidRPr="00153D3D">
        <w:rPr>
          <w:rFonts w:cs="Arial"/>
          <w:szCs w:val="22"/>
        </w:rPr>
        <w:t xml:space="preserve">, </w:t>
      </w:r>
      <w:proofErr w:type="spellStart"/>
      <w:r w:rsidRPr="00153D3D">
        <w:rPr>
          <w:rFonts w:cs="Arial"/>
          <w:szCs w:val="22"/>
        </w:rPr>
        <w:t>Kapur</w:t>
      </w:r>
      <w:proofErr w:type="spellEnd"/>
      <w:r w:rsidRPr="00153D3D">
        <w:rPr>
          <w:rFonts w:cs="Arial"/>
          <w:szCs w:val="22"/>
        </w:rPr>
        <w:t xml:space="preserve"> V, </w:t>
      </w:r>
      <w:proofErr w:type="spellStart"/>
      <w:r w:rsidRPr="00153D3D">
        <w:rPr>
          <w:rFonts w:cs="Arial"/>
          <w:szCs w:val="22"/>
        </w:rPr>
        <w:t>Schlievert</w:t>
      </w:r>
      <w:proofErr w:type="spellEnd"/>
      <w:r w:rsidRPr="00153D3D">
        <w:rPr>
          <w:rFonts w:cs="Arial"/>
          <w:szCs w:val="22"/>
        </w:rPr>
        <w:t xml:space="preserve"> PM. 2002.  Characterization and expression analysis of Staphylococcus aureus pathogenicity island 3. Implications for the evolution of staphylococcal pathogenicity islands.  J Biol Chem 277(15):13138-47. </w:t>
      </w:r>
    </w:p>
    <w:p w14:paraId="13B27E3B" w14:textId="77777777" w:rsidR="00153D3D" w:rsidRPr="00153D3D" w:rsidRDefault="00153D3D" w:rsidP="00153D3D">
      <w:pPr>
        <w:tabs>
          <w:tab w:val="left" w:pos="1440"/>
          <w:tab w:val="left" w:pos="2520"/>
        </w:tabs>
        <w:ind w:left="720" w:hanging="720"/>
        <w:rPr>
          <w:rFonts w:cs="Arial"/>
          <w:szCs w:val="22"/>
        </w:rPr>
      </w:pPr>
      <w:r w:rsidRPr="00153D3D">
        <w:rPr>
          <w:rFonts w:cs="Arial"/>
          <w:b/>
          <w:szCs w:val="22"/>
        </w:rPr>
        <w:t>Orwin PM</w:t>
      </w:r>
      <w:r w:rsidRPr="00153D3D">
        <w:rPr>
          <w:rFonts w:cs="Arial"/>
          <w:szCs w:val="22"/>
        </w:rPr>
        <w:t xml:space="preserve">, Leung DYM, Donahue HL, Novick RP, and </w:t>
      </w:r>
      <w:proofErr w:type="spellStart"/>
      <w:r w:rsidRPr="00153D3D">
        <w:rPr>
          <w:rFonts w:cs="Arial"/>
          <w:szCs w:val="22"/>
        </w:rPr>
        <w:t>Schlievert</w:t>
      </w:r>
      <w:proofErr w:type="spellEnd"/>
      <w:r w:rsidRPr="00153D3D">
        <w:rPr>
          <w:rFonts w:cs="Arial"/>
          <w:szCs w:val="22"/>
        </w:rPr>
        <w:t xml:space="preserve"> PM.  2001.  </w:t>
      </w:r>
      <w:proofErr w:type="gramStart"/>
      <w:r w:rsidRPr="00153D3D">
        <w:rPr>
          <w:rFonts w:cs="Arial"/>
          <w:szCs w:val="22"/>
        </w:rPr>
        <w:t>Biochemical  and</w:t>
      </w:r>
      <w:proofErr w:type="gramEnd"/>
      <w:r w:rsidRPr="00153D3D">
        <w:rPr>
          <w:rFonts w:cs="Arial"/>
          <w:szCs w:val="22"/>
        </w:rPr>
        <w:t xml:space="preserve"> Biological Properties of Staphylococcal Enterotoxin K. Infect. Immun. 69. 360-366.</w:t>
      </w:r>
    </w:p>
    <w:p w14:paraId="41A1509C" w14:textId="77777777" w:rsidR="00153D3D" w:rsidRPr="00153D3D" w:rsidRDefault="00153D3D" w:rsidP="00153D3D">
      <w:pPr>
        <w:pStyle w:val="ListParagraph"/>
        <w:shd w:val="clear" w:color="auto" w:fill="FFFFFF"/>
        <w:autoSpaceDE/>
        <w:autoSpaceDN/>
        <w:textAlignment w:val="baseline"/>
        <w:rPr>
          <w:rFonts w:ascii="Arial" w:hAnsi="Arial" w:cs="Arial"/>
          <w:color w:val="000000"/>
          <w:sz w:val="22"/>
          <w:szCs w:val="22"/>
        </w:rPr>
      </w:pPr>
    </w:p>
    <w:p w14:paraId="6BB1BE71" w14:textId="77777777" w:rsidR="00153D3D" w:rsidRPr="00153D3D" w:rsidRDefault="00153D3D" w:rsidP="00153D3D">
      <w:pPr>
        <w:widowControl w:val="0"/>
        <w:adjustRightInd w:val="0"/>
        <w:ind w:left="540" w:hanging="540"/>
        <w:rPr>
          <w:rFonts w:cs="Arial"/>
          <w:szCs w:val="22"/>
        </w:rPr>
      </w:pPr>
    </w:p>
    <w:p w14:paraId="1CE3ED17" w14:textId="77777777" w:rsidR="00153D3D" w:rsidRPr="00153D3D" w:rsidRDefault="00153D3D" w:rsidP="00153D3D">
      <w:pPr>
        <w:pStyle w:val="ListParagraph"/>
        <w:widowControl w:val="0"/>
        <w:numPr>
          <w:ilvl w:val="0"/>
          <w:numId w:val="27"/>
        </w:numPr>
        <w:adjustRightInd w:val="0"/>
        <w:rPr>
          <w:rFonts w:ascii="Arial" w:hAnsi="Arial" w:cs="Arial"/>
          <w:b/>
          <w:bCs/>
          <w:sz w:val="22"/>
          <w:szCs w:val="22"/>
        </w:rPr>
      </w:pPr>
      <w:r w:rsidRPr="00153D3D">
        <w:rPr>
          <w:rFonts w:ascii="Arial" w:hAnsi="Arial" w:cs="Arial"/>
          <w:b/>
          <w:bCs/>
          <w:sz w:val="22"/>
          <w:szCs w:val="22"/>
        </w:rPr>
        <w:t xml:space="preserve">Antimicrobial Drug Development and Assay Design. </w:t>
      </w:r>
      <w:r w:rsidRPr="00153D3D">
        <w:rPr>
          <w:rFonts w:ascii="Arial" w:hAnsi="Arial" w:cs="Arial"/>
          <w:sz w:val="22"/>
          <w:szCs w:val="22"/>
        </w:rPr>
        <w:t xml:space="preserve"> As a new faculty member in Biology, I led a team including a post-doctoral scholar from </w:t>
      </w:r>
      <w:proofErr w:type="spellStart"/>
      <w:r w:rsidRPr="00153D3D">
        <w:rPr>
          <w:rFonts w:ascii="Arial" w:hAnsi="Arial" w:cs="Arial"/>
          <w:sz w:val="22"/>
          <w:szCs w:val="22"/>
        </w:rPr>
        <w:t>Synedgen</w:t>
      </w:r>
      <w:proofErr w:type="spellEnd"/>
      <w:r w:rsidRPr="00153D3D">
        <w:rPr>
          <w:rFonts w:ascii="Arial" w:hAnsi="Arial" w:cs="Arial"/>
          <w:sz w:val="22"/>
          <w:szCs w:val="22"/>
        </w:rPr>
        <w:t xml:space="preserve"> and several undergraduate students from our department in studying a novel chitosan based antimicrobial compound. This included developing a killing assay, synergy assays with other antibiotics, and microscopy based analysis. Although it took a number of years to get to fruition, this work has now resulted in an antimicrobial product available for public use.</w:t>
      </w:r>
    </w:p>
    <w:p w14:paraId="6F0B3E87" w14:textId="77777777" w:rsidR="00153D3D" w:rsidRPr="00153D3D" w:rsidRDefault="00153D3D" w:rsidP="00153D3D">
      <w:pPr>
        <w:pStyle w:val="ListParagraph"/>
        <w:widowControl w:val="0"/>
        <w:adjustRightInd w:val="0"/>
        <w:rPr>
          <w:rFonts w:ascii="Arial" w:hAnsi="Arial" w:cs="Arial"/>
          <w:b/>
          <w:bCs/>
          <w:sz w:val="22"/>
          <w:szCs w:val="22"/>
        </w:rPr>
      </w:pPr>
    </w:p>
    <w:p w14:paraId="1D6AC392" w14:textId="77777777" w:rsidR="00153D3D" w:rsidRPr="00153D3D" w:rsidRDefault="00153D3D" w:rsidP="00153D3D">
      <w:pPr>
        <w:autoSpaceDE/>
        <w:autoSpaceDN/>
        <w:rPr>
          <w:rFonts w:cs="Arial"/>
          <w:szCs w:val="22"/>
        </w:rPr>
      </w:pPr>
      <w:r w:rsidRPr="00153D3D">
        <w:rPr>
          <w:rFonts w:cs="Arial"/>
          <w:color w:val="202020"/>
          <w:szCs w:val="22"/>
          <w:shd w:val="clear" w:color="auto" w:fill="FFFFFF"/>
        </w:rPr>
        <w:t xml:space="preserve">Narayanaswamy VP, </w:t>
      </w:r>
      <w:proofErr w:type="spellStart"/>
      <w:r w:rsidRPr="00153D3D">
        <w:rPr>
          <w:rFonts w:cs="Arial"/>
          <w:color w:val="202020"/>
          <w:szCs w:val="22"/>
          <w:shd w:val="clear" w:color="auto" w:fill="FFFFFF"/>
        </w:rPr>
        <w:t>Giatpaiboon</w:t>
      </w:r>
      <w:proofErr w:type="spellEnd"/>
      <w:r w:rsidRPr="00153D3D">
        <w:rPr>
          <w:rFonts w:cs="Arial"/>
          <w:color w:val="202020"/>
          <w:szCs w:val="22"/>
          <w:shd w:val="clear" w:color="auto" w:fill="FFFFFF"/>
        </w:rPr>
        <w:t xml:space="preserve"> SA, </w:t>
      </w:r>
      <w:proofErr w:type="spellStart"/>
      <w:r w:rsidRPr="00153D3D">
        <w:rPr>
          <w:rFonts w:cs="Arial"/>
          <w:color w:val="202020"/>
          <w:szCs w:val="22"/>
          <w:shd w:val="clear" w:color="auto" w:fill="FFFFFF"/>
        </w:rPr>
        <w:t>Uhrig</w:t>
      </w:r>
      <w:proofErr w:type="spellEnd"/>
      <w:r w:rsidRPr="00153D3D">
        <w:rPr>
          <w:rFonts w:cs="Arial"/>
          <w:color w:val="202020"/>
          <w:szCs w:val="22"/>
          <w:shd w:val="clear" w:color="auto" w:fill="FFFFFF"/>
        </w:rPr>
        <w:t xml:space="preserve"> J, </w:t>
      </w:r>
      <w:r w:rsidRPr="00153D3D">
        <w:rPr>
          <w:rFonts w:cs="Arial"/>
          <w:b/>
          <w:bCs/>
          <w:color w:val="202020"/>
          <w:szCs w:val="22"/>
          <w:shd w:val="clear" w:color="auto" w:fill="FFFFFF"/>
        </w:rPr>
        <w:t>Orwin P</w:t>
      </w:r>
      <w:r w:rsidRPr="00153D3D">
        <w:rPr>
          <w:rFonts w:cs="Arial"/>
          <w:color w:val="202020"/>
          <w:szCs w:val="22"/>
          <w:shd w:val="clear" w:color="auto" w:fill="FFFFFF"/>
        </w:rPr>
        <w:t xml:space="preserve">, </w:t>
      </w:r>
      <w:proofErr w:type="spellStart"/>
      <w:r w:rsidRPr="00153D3D">
        <w:rPr>
          <w:rFonts w:cs="Arial"/>
          <w:color w:val="202020"/>
          <w:szCs w:val="22"/>
          <w:shd w:val="clear" w:color="auto" w:fill="FFFFFF"/>
        </w:rPr>
        <w:t>Wiesmann</w:t>
      </w:r>
      <w:proofErr w:type="spellEnd"/>
      <w:r w:rsidRPr="00153D3D">
        <w:rPr>
          <w:rFonts w:cs="Arial"/>
          <w:color w:val="202020"/>
          <w:szCs w:val="22"/>
          <w:shd w:val="clear" w:color="auto" w:fill="FFFFFF"/>
        </w:rPr>
        <w:t> W, et al. (2018) </w:t>
      </w:r>
      <w:r w:rsidRPr="00153D3D">
        <w:rPr>
          <w:rFonts w:cs="Arial"/>
          <w:i/>
          <w:iCs/>
          <w:color w:val="202020"/>
          <w:szCs w:val="22"/>
          <w:shd w:val="clear" w:color="auto" w:fill="FFFFFF"/>
        </w:rPr>
        <w:t>In Vitro</w:t>
      </w:r>
      <w:r w:rsidRPr="00153D3D">
        <w:rPr>
          <w:rFonts w:cs="Arial"/>
          <w:color w:val="202020"/>
          <w:szCs w:val="22"/>
          <w:shd w:val="clear" w:color="auto" w:fill="FFFFFF"/>
        </w:rPr>
        <w:t xml:space="preserve"> activity of novel </w:t>
      </w:r>
      <w:proofErr w:type="spellStart"/>
      <w:r w:rsidRPr="00153D3D">
        <w:rPr>
          <w:rFonts w:cs="Arial"/>
          <w:color w:val="202020"/>
          <w:szCs w:val="22"/>
          <w:shd w:val="clear" w:color="auto" w:fill="FFFFFF"/>
        </w:rPr>
        <w:t>glycopolymer</w:t>
      </w:r>
      <w:proofErr w:type="spellEnd"/>
      <w:r w:rsidRPr="00153D3D">
        <w:rPr>
          <w:rFonts w:cs="Arial"/>
          <w:color w:val="202020"/>
          <w:szCs w:val="22"/>
          <w:shd w:val="clear" w:color="auto" w:fill="FFFFFF"/>
        </w:rPr>
        <w:t xml:space="preserve"> against clinical isolates of multidrug-resistant </w:t>
      </w:r>
      <w:r w:rsidRPr="00153D3D">
        <w:rPr>
          <w:rFonts w:cs="Arial"/>
          <w:i/>
          <w:iCs/>
          <w:color w:val="202020"/>
          <w:szCs w:val="22"/>
          <w:shd w:val="clear" w:color="auto" w:fill="FFFFFF"/>
        </w:rPr>
        <w:t>Staphylococcus aureus</w:t>
      </w:r>
      <w:r w:rsidRPr="00153D3D">
        <w:rPr>
          <w:rFonts w:cs="Arial"/>
          <w:color w:val="202020"/>
          <w:szCs w:val="22"/>
          <w:shd w:val="clear" w:color="auto" w:fill="FFFFFF"/>
        </w:rPr>
        <w:t>. PLOS ONE 13(1): e0191522. </w:t>
      </w:r>
      <w:r w:rsidRPr="00153D3D">
        <w:rPr>
          <w:rFonts w:cs="Arial"/>
          <w:szCs w:val="22"/>
        </w:rPr>
        <w:t xml:space="preserve"> </w:t>
      </w:r>
    </w:p>
    <w:p w14:paraId="23DD7BB4" w14:textId="77777777" w:rsidR="00153D3D" w:rsidRPr="00153D3D" w:rsidRDefault="00153D3D" w:rsidP="00153D3D">
      <w:pPr>
        <w:autoSpaceDE/>
        <w:autoSpaceDN/>
        <w:rPr>
          <w:rFonts w:cs="Arial"/>
          <w:szCs w:val="22"/>
        </w:rPr>
      </w:pPr>
    </w:p>
    <w:p w14:paraId="02DF5CB2" w14:textId="77777777" w:rsidR="00153D3D" w:rsidRPr="00153D3D" w:rsidRDefault="00153D3D" w:rsidP="00153D3D">
      <w:pPr>
        <w:pStyle w:val="ListParagraph"/>
        <w:widowControl w:val="0"/>
        <w:numPr>
          <w:ilvl w:val="0"/>
          <w:numId w:val="27"/>
        </w:numPr>
        <w:adjustRightInd w:val="0"/>
        <w:rPr>
          <w:rFonts w:ascii="Arial" w:hAnsi="Arial" w:cs="Arial"/>
          <w:b/>
          <w:bCs/>
          <w:sz w:val="22"/>
          <w:szCs w:val="22"/>
        </w:rPr>
      </w:pPr>
      <w:r w:rsidRPr="00153D3D">
        <w:rPr>
          <w:rFonts w:ascii="Arial" w:hAnsi="Arial" w:cs="Arial"/>
          <w:b/>
          <w:bCs/>
          <w:sz w:val="22"/>
          <w:szCs w:val="22"/>
        </w:rPr>
        <w:t xml:space="preserve">Biosensor development. </w:t>
      </w:r>
      <w:r w:rsidRPr="00153D3D">
        <w:rPr>
          <w:rFonts w:ascii="Arial" w:hAnsi="Arial" w:cs="Arial"/>
          <w:sz w:val="22"/>
          <w:szCs w:val="22"/>
        </w:rPr>
        <w:t xml:space="preserve">As a postdoc at the Biotechnology Institute in St. Paul, MN I worked with </w:t>
      </w:r>
      <w:r w:rsidRPr="00153D3D">
        <w:rPr>
          <w:rFonts w:ascii="Arial" w:hAnsi="Arial" w:cs="Arial"/>
          <w:sz w:val="22"/>
          <w:szCs w:val="22"/>
        </w:rPr>
        <w:lastRenderedPageBreak/>
        <w:t xml:space="preserve">Michael Flickinger and Janet </w:t>
      </w:r>
      <w:proofErr w:type="spellStart"/>
      <w:r w:rsidRPr="00153D3D">
        <w:rPr>
          <w:rFonts w:ascii="Arial" w:hAnsi="Arial" w:cs="Arial"/>
          <w:sz w:val="22"/>
          <w:szCs w:val="22"/>
        </w:rPr>
        <w:t>Schottel</w:t>
      </w:r>
      <w:proofErr w:type="spellEnd"/>
      <w:r w:rsidRPr="00153D3D">
        <w:rPr>
          <w:rFonts w:ascii="Arial" w:hAnsi="Arial" w:cs="Arial"/>
          <w:sz w:val="22"/>
          <w:szCs w:val="22"/>
        </w:rPr>
        <w:t xml:space="preserve"> on a mercury biosensor that used a </w:t>
      </w:r>
      <w:proofErr w:type="spellStart"/>
      <w:r w:rsidRPr="00153D3D">
        <w:rPr>
          <w:rFonts w:ascii="Arial" w:hAnsi="Arial" w:cs="Arial"/>
          <w:sz w:val="22"/>
          <w:szCs w:val="22"/>
        </w:rPr>
        <w:t>MerR</w:t>
      </w:r>
      <w:proofErr w:type="spellEnd"/>
      <w:r w:rsidRPr="00153D3D">
        <w:rPr>
          <w:rFonts w:ascii="Arial" w:hAnsi="Arial" w:cs="Arial"/>
          <w:sz w:val="22"/>
          <w:szCs w:val="22"/>
        </w:rPr>
        <w:t xml:space="preserve"> response element to control GFP expression in response to very low levels of mercuric ion. The key innovation in this work was the embedding of the biosensor strain in latex patches that could be stored for long periods of time while maintaining viability and sensitivity. This experience gave me insight into the opportunities and need for rapid response biosensor and testing technologies.</w:t>
      </w:r>
    </w:p>
    <w:p w14:paraId="4DF3C3E6" w14:textId="77777777" w:rsidR="00153D3D" w:rsidRPr="00153D3D" w:rsidRDefault="00153D3D" w:rsidP="00153D3D">
      <w:pPr>
        <w:pStyle w:val="ListParagraph"/>
        <w:widowControl w:val="0"/>
        <w:adjustRightInd w:val="0"/>
        <w:rPr>
          <w:rFonts w:ascii="Arial" w:hAnsi="Arial" w:cs="Arial"/>
          <w:b/>
          <w:bCs/>
          <w:sz w:val="22"/>
          <w:szCs w:val="22"/>
        </w:rPr>
      </w:pPr>
    </w:p>
    <w:p w14:paraId="1BAF20FB" w14:textId="77777777" w:rsidR="00153D3D" w:rsidRPr="00153D3D" w:rsidRDefault="00153D3D" w:rsidP="00153D3D">
      <w:pPr>
        <w:autoSpaceDE/>
        <w:autoSpaceDN/>
        <w:rPr>
          <w:rFonts w:cs="Arial"/>
          <w:szCs w:val="22"/>
        </w:rPr>
      </w:pPr>
      <w:proofErr w:type="spellStart"/>
      <w:r w:rsidRPr="00153D3D">
        <w:rPr>
          <w:rFonts w:cs="Arial"/>
          <w:color w:val="212121"/>
          <w:szCs w:val="22"/>
          <w:shd w:val="clear" w:color="auto" w:fill="FFFFFF"/>
        </w:rPr>
        <w:t>Schottel</w:t>
      </w:r>
      <w:proofErr w:type="spellEnd"/>
      <w:r w:rsidRPr="00153D3D">
        <w:rPr>
          <w:rFonts w:cs="Arial"/>
          <w:color w:val="212121"/>
          <w:szCs w:val="22"/>
          <w:shd w:val="clear" w:color="auto" w:fill="FFFFFF"/>
        </w:rPr>
        <w:t xml:space="preserve"> JL, </w:t>
      </w:r>
      <w:r w:rsidRPr="00153D3D">
        <w:rPr>
          <w:rFonts w:cs="Arial"/>
          <w:b/>
          <w:bCs/>
          <w:color w:val="212121"/>
          <w:szCs w:val="22"/>
          <w:shd w:val="clear" w:color="auto" w:fill="FFFFFF"/>
        </w:rPr>
        <w:t>Orwin PM,</w:t>
      </w:r>
      <w:r w:rsidRPr="00153D3D">
        <w:rPr>
          <w:rFonts w:cs="Arial"/>
          <w:color w:val="212121"/>
          <w:szCs w:val="22"/>
          <w:shd w:val="clear" w:color="auto" w:fill="FFFFFF"/>
        </w:rPr>
        <w:t xml:space="preserve"> Anderson CR, Flickinger MC. Spatial expression of a mercury-inducible green fluorescent protein within a </w:t>
      </w:r>
      <w:proofErr w:type="spellStart"/>
      <w:r w:rsidRPr="00153D3D">
        <w:rPr>
          <w:rFonts w:cs="Arial"/>
          <w:color w:val="212121"/>
          <w:szCs w:val="22"/>
          <w:shd w:val="clear" w:color="auto" w:fill="FFFFFF"/>
        </w:rPr>
        <w:t>nanoporous</w:t>
      </w:r>
      <w:proofErr w:type="spellEnd"/>
      <w:r w:rsidRPr="00153D3D">
        <w:rPr>
          <w:rFonts w:cs="Arial"/>
          <w:color w:val="212121"/>
          <w:szCs w:val="22"/>
          <w:shd w:val="clear" w:color="auto" w:fill="FFFFFF"/>
        </w:rPr>
        <w:t xml:space="preserve"> latex-based biosensor coating. </w:t>
      </w:r>
      <w:r w:rsidRPr="00153D3D">
        <w:rPr>
          <w:rFonts w:cs="Arial"/>
          <w:i/>
          <w:iCs/>
          <w:color w:val="212121"/>
          <w:szCs w:val="22"/>
          <w:shd w:val="clear" w:color="auto" w:fill="FFFFFF"/>
        </w:rPr>
        <w:t xml:space="preserve">J Ind Microbiol </w:t>
      </w:r>
      <w:proofErr w:type="spellStart"/>
      <w:r w:rsidRPr="00153D3D">
        <w:rPr>
          <w:rFonts w:cs="Arial"/>
          <w:i/>
          <w:iCs/>
          <w:color w:val="212121"/>
          <w:szCs w:val="22"/>
          <w:shd w:val="clear" w:color="auto" w:fill="FFFFFF"/>
        </w:rPr>
        <w:t>Biotechnol</w:t>
      </w:r>
      <w:proofErr w:type="spellEnd"/>
      <w:r w:rsidRPr="00153D3D">
        <w:rPr>
          <w:rFonts w:cs="Arial"/>
          <w:color w:val="212121"/>
          <w:szCs w:val="22"/>
          <w:shd w:val="clear" w:color="auto" w:fill="FFFFFF"/>
        </w:rPr>
        <w:t xml:space="preserve">. 2008;35(4):283-290. </w:t>
      </w:r>
    </w:p>
    <w:p w14:paraId="5BADD417" w14:textId="157EB434" w:rsidR="002C51BC" w:rsidRPr="00153D3D" w:rsidRDefault="002C51BC" w:rsidP="002C51BC">
      <w:pPr>
        <w:pStyle w:val="DataField11pt-Single"/>
        <w:rPr>
          <w:rStyle w:val="Strong"/>
          <w:szCs w:val="22"/>
        </w:rPr>
      </w:pPr>
    </w:p>
    <w:p w14:paraId="5CE1EAD0" w14:textId="77777777" w:rsidR="002C51BC" w:rsidRPr="00A128A0" w:rsidRDefault="002C51BC"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75DFD333" w:rsidR="00FC5F9E" w:rsidRDefault="00FC5F9E" w:rsidP="005C2CF8">
      <w:pPr>
        <w:pStyle w:val="DataField11pt-Single"/>
        <w:rPr>
          <w:rStyle w:val="Strong"/>
          <w:b w:val="0"/>
        </w:rPr>
      </w:pPr>
    </w:p>
    <w:p w14:paraId="7877E029" w14:textId="77777777" w:rsidR="00153D3D" w:rsidRPr="00C31EB1" w:rsidRDefault="00153D3D" w:rsidP="00153D3D">
      <w:pPr>
        <w:rPr>
          <w:rFonts w:cs="Arial"/>
        </w:rPr>
      </w:pPr>
      <w:r>
        <w:rPr>
          <w:rFonts w:cs="Arial"/>
        </w:rPr>
        <w:t>1</w:t>
      </w:r>
      <w:r w:rsidRPr="00C31EB1">
        <w:rPr>
          <w:rFonts w:cs="Arial"/>
        </w:rPr>
        <w:t>R15GM116173-01</w:t>
      </w:r>
      <w:r w:rsidRPr="00C31EB1">
        <w:rPr>
          <w:rFonts w:cs="Arial"/>
        </w:rPr>
        <w:tab/>
      </w:r>
      <w:r w:rsidRPr="00C31EB1">
        <w:rPr>
          <w:rFonts w:cs="Arial"/>
        </w:rPr>
        <w:tab/>
        <w:t>Orwin (PI)</w:t>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t>8/01/2015-7/31/2019</w:t>
      </w:r>
    </w:p>
    <w:p w14:paraId="29DF706B" w14:textId="77777777" w:rsidR="00153D3D" w:rsidRPr="00C31EB1" w:rsidRDefault="00153D3D" w:rsidP="00153D3D">
      <w:pPr>
        <w:rPr>
          <w:rFonts w:cs="Arial"/>
        </w:rPr>
      </w:pPr>
      <w:r w:rsidRPr="00C31EB1">
        <w:rPr>
          <w:rFonts w:cs="Arial"/>
        </w:rPr>
        <w:t>NIH/NIGMS</w:t>
      </w:r>
    </w:p>
    <w:p w14:paraId="7BE88585" w14:textId="77777777" w:rsidR="00153D3D" w:rsidRPr="00C31EB1" w:rsidRDefault="00153D3D" w:rsidP="00153D3D">
      <w:pPr>
        <w:rPr>
          <w:rFonts w:cs="Arial"/>
        </w:rPr>
      </w:pPr>
      <w:r w:rsidRPr="00C31EB1">
        <w:rPr>
          <w:rFonts w:cs="Arial"/>
        </w:rPr>
        <w:t xml:space="preserve">Investigation of Genetic, </w:t>
      </w:r>
      <w:proofErr w:type="spellStart"/>
      <w:proofErr w:type="gramStart"/>
      <w:r w:rsidRPr="00C31EB1">
        <w:rPr>
          <w:rFonts w:cs="Arial"/>
        </w:rPr>
        <w:t>Biochemical,and</w:t>
      </w:r>
      <w:proofErr w:type="spellEnd"/>
      <w:proofErr w:type="gramEnd"/>
      <w:r w:rsidRPr="00C31EB1">
        <w:rPr>
          <w:rFonts w:cs="Arial"/>
        </w:rPr>
        <w:t xml:space="preserve"> Regulatory Aspects of Surface Motility</w:t>
      </w:r>
    </w:p>
    <w:p w14:paraId="2257388D" w14:textId="77777777" w:rsidR="00153D3D" w:rsidRPr="00C31EB1" w:rsidRDefault="00153D3D" w:rsidP="00153D3D">
      <w:pPr>
        <w:rPr>
          <w:rFonts w:cs="Arial"/>
        </w:rPr>
      </w:pPr>
      <w:r w:rsidRPr="00C31EB1">
        <w:rPr>
          <w:rFonts w:cs="Arial"/>
        </w:rPr>
        <w:t xml:space="preserve">and Anti-Staphylococcal Activity in </w:t>
      </w:r>
      <w:proofErr w:type="spellStart"/>
      <w:r w:rsidRPr="00C31EB1">
        <w:rPr>
          <w:rFonts w:cs="Arial"/>
          <w:i/>
          <w:iCs/>
        </w:rPr>
        <w:t>Variovorax</w:t>
      </w:r>
      <w:proofErr w:type="spellEnd"/>
      <w:r w:rsidRPr="00C31EB1">
        <w:rPr>
          <w:rFonts w:cs="Arial"/>
          <w:i/>
          <w:iCs/>
        </w:rPr>
        <w:t xml:space="preserve"> parado</w:t>
      </w:r>
      <w:r w:rsidRPr="00C31EB1">
        <w:rPr>
          <w:rFonts w:cs="Arial"/>
        </w:rPr>
        <w:t xml:space="preserve">xus EPS </w:t>
      </w:r>
    </w:p>
    <w:p w14:paraId="07214F2B" w14:textId="6A236455" w:rsidR="00153D3D" w:rsidRDefault="00153D3D" w:rsidP="00153D3D">
      <w:pPr>
        <w:rPr>
          <w:rFonts w:cs="Arial"/>
        </w:rPr>
      </w:pPr>
      <w:r w:rsidRPr="00C31EB1">
        <w:rPr>
          <w:rFonts w:cs="Arial"/>
        </w:rPr>
        <w:tab/>
        <w:t>Role: PI</w:t>
      </w:r>
    </w:p>
    <w:p w14:paraId="6ACD0504" w14:textId="5F73A527" w:rsidR="00C717FF" w:rsidRPr="00C717FF" w:rsidRDefault="00C717FF" w:rsidP="00153D3D">
      <w:pPr>
        <w:rPr>
          <w:rFonts w:cs="Arial"/>
        </w:rPr>
      </w:pPr>
      <w:r>
        <w:rPr>
          <w:rFonts w:cs="Arial"/>
        </w:rPr>
        <w:t xml:space="preserve">This project focused on using biochemistry, genetics, and transcriptome analysis to study the surfactant produced by </w:t>
      </w:r>
      <w:proofErr w:type="spellStart"/>
      <w:r>
        <w:rPr>
          <w:rFonts w:cs="Arial"/>
          <w:i/>
          <w:iCs/>
        </w:rPr>
        <w:t>Variovorax</w:t>
      </w:r>
      <w:proofErr w:type="spellEnd"/>
      <w:r>
        <w:rPr>
          <w:rFonts w:cs="Arial"/>
          <w:i/>
          <w:iCs/>
        </w:rPr>
        <w:t xml:space="preserve"> paradoxus </w:t>
      </w:r>
      <w:r>
        <w:rPr>
          <w:rFonts w:cs="Arial"/>
        </w:rPr>
        <w:t>EPS</w:t>
      </w:r>
      <w:r>
        <w:rPr>
          <w:rFonts w:cs="Arial"/>
          <w:i/>
          <w:iCs/>
        </w:rPr>
        <w:t xml:space="preserve">, </w:t>
      </w:r>
      <w:r>
        <w:rPr>
          <w:rFonts w:cs="Arial"/>
        </w:rPr>
        <w:t>and the anti-Staphylococcal activity of this strain in co-culture.</w:t>
      </w:r>
    </w:p>
    <w:p w14:paraId="23E6E536" w14:textId="77777777" w:rsidR="00153D3D" w:rsidRPr="00C31EB1" w:rsidRDefault="00153D3D" w:rsidP="00153D3D">
      <w:pPr>
        <w:rPr>
          <w:rFonts w:cs="Arial"/>
        </w:rPr>
      </w:pPr>
    </w:p>
    <w:p w14:paraId="6BF4121F" w14:textId="77777777" w:rsidR="00153D3D" w:rsidRPr="00C31EB1" w:rsidRDefault="00153D3D" w:rsidP="00153D3D">
      <w:pPr>
        <w:rPr>
          <w:rFonts w:cs="Arial"/>
        </w:rPr>
      </w:pPr>
      <w:r w:rsidRPr="00C31EB1">
        <w:rPr>
          <w:rFonts w:cs="Arial"/>
        </w:rPr>
        <w:t>R25GM100829 (Co-I; Crawford PI)</w:t>
      </w:r>
    </w:p>
    <w:p w14:paraId="0D68105F" w14:textId="77777777" w:rsidR="00153D3D" w:rsidRPr="00C31EB1" w:rsidRDefault="00153D3D" w:rsidP="00153D3D">
      <w:pPr>
        <w:rPr>
          <w:rFonts w:cs="Arial"/>
        </w:rPr>
      </w:pPr>
      <w:r w:rsidRPr="00C31EB1">
        <w:rPr>
          <w:rFonts w:cs="Arial"/>
        </w:rPr>
        <w:t>NIH/NIGMS</w:t>
      </w:r>
    </w:p>
    <w:p w14:paraId="6C48CF92" w14:textId="77777777" w:rsidR="00153D3D" w:rsidRPr="00C31EB1" w:rsidRDefault="00153D3D" w:rsidP="00153D3D">
      <w:pPr>
        <w:rPr>
          <w:rFonts w:cs="Arial"/>
        </w:rPr>
      </w:pPr>
      <w:r w:rsidRPr="00C31EB1">
        <w:rPr>
          <w:rFonts w:cs="Arial"/>
        </w:rPr>
        <w:t xml:space="preserve">CSUSB RISE Program </w:t>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r>
      <w:r w:rsidRPr="00C31EB1">
        <w:rPr>
          <w:rFonts w:cs="Arial"/>
        </w:rPr>
        <w:tab/>
        <w:t>3/01/13-12/31/2017</w:t>
      </w:r>
    </w:p>
    <w:p w14:paraId="405003AF" w14:textId="77777777" w:rsidR="00153D3D" w:rsidRPr="00C31EB1" w:rsidRDefault="00153D3D" w:rsidP="00153D3D">
      <w:pPr>
        <w:rPr>
          <w:rFonts w:cs="Arial"/>
        </w:rPr>
      </w:pPr>
      <w:r w:rsidRPr="00C31EB1">
        <w:rPr>
          <w:rFonts w:cs="Arial"/>
        </w:rPr>
        <w:t>The goal of this project is to increase the number of underrepresented students who attend Ph.D. programs in the behavioral or biomedical sciences.</w:t>
      </w:r>
    </w:p>
    <w:p w14:paraId="26B6419E" w14:textId="77777777" w:rsidR="00153D3D" w:rsidRPr="00E03323" w:rsidRDefault="00153D3D" w:rsidP="005C2CF8">
      <w:pPr>
        <w:pStyle w:val="DataField11pt-Single"/>
        <w:rPr>
          <w:rStyle w:val="Strong"/>
          <w:b w:val="0"/>
        </w:rPr>
      </w:pPr>
    </w:p>
    <w:sectPr w:rsidR="00153D3D"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D8BE" w14:textId="77777777" w:rsidR="00E52912" w:rsidRDefault="00E52912">
      <w:r>
        <w:separator/>
      </w:r>
    </w:p>
  </w:endnote>
  <w:endnote w:type="continuationSeparator" w:id="0">
    <w:p w14:paraId="2AA3EB5D" w14:textId="77777777" w:rsidR="00E52912" w:rsidRDefault="00E5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6E87" w14:textId="77777777" w:rsidR="00E52912" w:rsidRDefault="00E52912">
      <w:r>
        <w:separator/>
      </w:r>
    </w:p>
  </w:footnote>
  <w:footnote w:type="continuationSeparator" w:id="0">
    <w:p w14:paraId="30AB5913" w14:textId="77777777" w:rsidR="00E52912" w:rsidRDefault="00E5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140"/>
    <w:multiLevelType w:val="multilevel"/>
    <w:tmpl w:val="CEB4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E1D08"/>
    <w:multiLevelType w:val="hybridMultilevel"/>
    <w:tmpl w:val="5906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237C8"/>
    <w:multiLevelType w:val="multilevel"/>
    <w:tmpl w:val="4F4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5F50811"/>
    <w:multiLevelType w:val="hybridMultilevel"/>
    <w:tmpl w:val="C3AC1D84"/>
    <w:lvl w:ilvl="0" w:tplc="A2F63E20">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9"/>
  </w:num>
  <w:num w:numId="15">
    <w:abstractNumId w:val="16"/>
  </w:num>
  <w:num w:numId="16">
    <w:abstractNumId w:val="18"/>
  </w:num>
  <w:num w:numId="17">
    <w:abstractNumId w:val="10"/>
  </w:num>
  <w:num w:numId="18">
    <w:abstractNumId w:val="12"/>
  </w:num>
  <w:num w:numId="19">
    <w:abstractNumId w:val="13"/>
    <w:lvlOverride w:ilvl="0">
      <w:startOverride w:val="1"/>
    </w:lvlOverride>
  </w:num>
  <w:num w:numId="20">
    <w:abstractNumId w:val="13"/>
    <w:lvlOverride w:ilvl="0">
      <w:startOverride w:val="2"/>
    </w:lvlOverride>
  </w:num>
  <w:num w:numId="21">
    <w:abstractNumId w:val="13"/>
    <w:lvlOverride w:ilvl="0">
      <w:startOverride w:val="3"/>
    </w:lvlOverride>
  </w:num>
  <w:num w:numId="22">
    <w:abstractNumId w:val="13"/>
    <w:lvlOverride w:ilvl="0">
      <w:startOverride w:val="4"/>
    </w:lvlOverride>
  </w:num>
  <w:num w:numId="23">
    <w:abstractNumId w:val="17"/>
    <w:lvlOverride w:ilvl="0">
      <w:startOverride w:val="1"/>
    </w:lvlOverride>
  </w:num>
  <w:num w:numId="24">
    <w:abstractNumId w:val="17"/>
    <w:lvlOverride w:ilvl="0">
      <w:startOverride w:val="2"/>
    </w:lvlOverride>
  </w:num>
  <w:num w:numId="25">
    <w:abstractNumId w:val="17"/>
    <w:lvlOverride w:ilvl="0">
      <w:startOverride w:val="3"/>
    </w:lvlOverride>
  </w:num>
  <w:num w:numId="26">
    <w:abstractNumId w:val="17"/>
    <w:lvlOverride w:ilvl="0">
      <w:startOverride w:val="4"/>
    </w:lvlOverride>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22EB3"/>
    <w:rsid w:val="00132CA6"/>
    <w:rsid w:val="0014571A"/>
    <w:rsid w:val="00153D3D"/>
    <w:rsid w:val="00170D87"/>
    <w:rsid w:val="00177D49"/>
    <w:rsid w:val="00183022"/>
    <w:rsid w:val="001C065C"/>
    <w:rsid w:val="001D76FB"/>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030E"/>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1DE6"/>
    <w:rsid w:val="00763DE9"/>
    <w:rsid w:val="00781234"/>
    <w:rsid w:val="007B7AF3"/>
    <w:rsid w:val="007E6E1E"/>
    <w:rsid w:val="008073EB"/>
    <w:rsid w:val="00843027"/>
    <w:rsid w:val="00873917"/>
    <w:rsid w:val="00874EBC"/>
    <w:rsid w:val="0087514A"/>
    <w:rsid w:val="00890CA9"/>
    <w:rsid w:val="009211D3"/>
    <w:rsid w:val="00933173"/>
    <w:rsid w:val="00934124"/>
    <w:rsid w:val="00952A27"/>
    <w:rsid w:val="00977FA5"/>
    <w:rsid w:val="00983F96"/>
    <w:rsid w:val="00985E1E"/>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044F9"/>
    <w:rsid w:val="00C05C55"/>
    <w:rsid w:val="00C076C6"/>
    <w:rsid w:val="00C1247F"/>
    <w:rsid w:val="00C137DA"/>
    <w:rsid w:val="00C20F69"/>
    <w:rsid w:val="00C3113F"/>
    <w:rsid w:val="00C4536F"/>
    <w:rsid w:val="00C46ADA"/>
    <w:rsid w:val="00C717FF"/>
    <w:rsid w:val="00C8438D"/>
    <w:rsid w:val="00C85025"/>
    <w:rsid w:val="00C918BD"/>
    <w:rsid w:val="00C94E59"/>
    <w:rsid w:val="00CA680A"/>
    <w:rsid w:val="00CD67F0"/>
    <w:rsid w:val="00CE0951"/>
    <w:rsid w:val="00CE0ACB"/>
    <w:rsid w:val="00CF68A2"/>
    <w:rsid w:val="00D3779E"/>
    <w:rsid w:val="00D679E5"/>
    <w:rsid w:val="00D74391"/>
    <w:rsid w:val="00D83360"/>
    <w:rsid w:val="00D91337"/>
    <w:rsid w:val="00DB7B85"/>
    <w:rsid w:val="00DD31B4"/>
    <w:rsid w:val="00DF7645"/>
    <w:rsid w:val="00E03323"/>
    <w:rsid w:val="00E047AD"/>
    <w:rsid w:val="00E12287"/>
    <w:rsid w:val="00E127A1"/>
    <w:rsid w:val="00E20E6D"/>
    <w:rsid w:val="00E355C2"/>
    <w:rsid w:val="00E5291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CE0A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CE0ACB"/>
    <w:rPr>
      <w:rFonts w:asciiTheme="majorHAnsi" w:eastAsiaTheme="majorEastAsia" w:hAnsiTheme="majorHAnsi" w:cstheme="majorBidi"/>
      <w:i/>
      <w:iCs/>
      <w:color w:val="2E74B5" w:themeColor="accent1" w:themeShade="BF"/>
      <w:sz w:val="22"/>
      <w:szCs w:val="24"/>
    </w:rPr>
  </w:style>
  <w:style w:type="paragraph" w:customStyle="1" w:styleId="nospaceout">
    <w:name w:val="nospace_out"/>
    <w:basedOn w:val="Normal"/>
    <w:rsid w:val="00CE0ACB"/>
    <w:pPr>
      <w:autoSpaceDE/>
      <w:autoSpaceDN/>
      <w:spacing w:before="100" w:beforeAutospacing="1" w:after="100" w:afterAutospacing="1"/>
    </w:pPr>
    <w:rPr>
      <w:rFonts w:ascii="Times New Roman" w:hAnsi="Times New Roman"/>
      <w:sz w:val="24"/>
    </w:rPr>
  </w:style>
  <w:style w:type="character" w:styleId="FollowedHyperlink">
    <w:name w:val="FollowedHyperlink"/>
    <w:basedOn w:val="DefaultParagraphFont"/>
    <w:rsid w:val="00B044F9"/>
    <w:rPr>
      <w:color w:val="954F72" w:themeColor="followedHyperlink"/>
      <w:u w:val="single"/>
    </w:rPr>
  </w:style>
  <w:style w:type="paragraph" w:customStyle="1" w:styleId="DataField10pt">
    <w:name w:val="Data Field 10pt"/>
    <w:basedOn w:val="Normal"/>
    <w:rsid w:val="00B044F9"/>
    <w:rPr>
      <w:sz w:val="20"/>
      <w:szCs w:val="20"/>
    </w:rPr>
  </w:style>
  <w:style w:type="paragraph" w:styleId="ListParagraph">
    <w:name w:val="List Paragraph"/>
    <w:basedOn w:val="Normal"/>
    <w:uiPriority w:val="34"/>
    <w:qFormat/>
    <w:rsid w:val="00153D3D"/>
    <w:pPr>
      <w:ind w:left="720"/>
      <w:contextualSpacing/>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12755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Paul Orwin</cp:lastModifiedBy>
  <cp:revision>2</cp:revision>
  <cp:lastPrinted>2011-03-11T19:43:00Z</cp:lastPrinted>
  <dcterms:created xsi:type="dcterms:W3CDTF">2020-12-03T23:11:00Z</dcterms:created>
  <dcterms:modified xsi:type="dcterms:W3CDTF">2020-12-03T23:11:00Z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