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ABDC" w14:textId="77777777" w:rsidR="00235E89" w:rsidRDefault="00235E8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tbl>
      <w:tblPr>
        <w:tblStyle w:val="a"/>
        <w:tblW w:w="9265" w:type="dxa"/>
        <w:tblLayout w:type="fixed"/>
        <w:tblLook w:val="0400" w:firstRow="0" w:lastRow="0" w:firstColumn="0" w:lastColumn="0" w:noHBand="0" w:noVBand="1"/>
      </w:tblPr>
      <w:tblGrid>
        <w:gridCol w:w="9265"/>
      </w:tblGrid>
      <w:tr w:rsidR="00235E89" w14:paraId="44630EAA" w14:textId="77777777">
        <w:trPr>
          <w:trHeight w:val="124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6FF85" w14:textId="77777777" w:rsidR="00235E89" w:rsidRDefault="00973A8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CALL FOR PARTICIPANTS</w:t>
            </w:r>
          </w:p>
          <w:p w14:paraId="25E58109" w14:textId="77777777" w:rsidR="00235E89" w:rsidRDefault="00973A8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ePortfolios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as a High Impact Practice</w:t>
            </w:r>
          </w:p>
          <w:p w14:paraId="70940970" w14:textId="77777777" w:rsidR="00235E89" w:rsidRDefault="00973A8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Fall Institute, December 11-13, 2019 </w:t>
            </w:r>
          </w:p>
          <w:p w14:paraId="7A3AFF5A" w14:textId="77777777" w:rsidR="00235E89" w:rsidRDefault="00973A8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Deadline for Submission, November 18, 2019 (11:59pm PDT)</w:t>
            </w:r>
          </w:p>
        </w:tc>
      </w:tr>
    </w:tbl>
    <w:p w14:paraId="27366A0C" w14:textId="77777777" w:rsidR="00235E89" w:rsidRDefault="00235E8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D8F237A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purpose of this institute is to provide faculty members time, space, and support to investigate, in an interdisciplinary and collaborative setting, the benefits and complexities of </w:t>
      </w:r>
      <w:proofErr w:type="spellStart"/>
      <w:r>
        <w:rPr>
          <w:rFonts w:ascii="Arial" w:eastAsia="Arial" w:hAnsi="Arial" w:cs="Arial"/>
          <w:sz w:val="20"/>
          <w:szCs w:val="20"/>
        </w:rPr>
        <w:t>ePortfolios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with the goal of incorporating </w:t>
      </w:r>
      <w:proofErr w:type="spellStart"/>
      <w:r>
        <w:rPr>
          <w:rFonts w:ascii="Arial" w:eastAsia="Arial" w:hAnsi="Arial" w:cs="Arial"/>
          <w:sz w:val="20"/>
          <w:szCs w:val="20"/>
        </w:rPr>
        <w:t>ePortfolios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into their quar</w:t>
      </w:r>
      <w:r>
        <w:rPr>
          <w:rFonts w:ascii="Arial" w:eastAsia="Arial" w:hAnsi="Arial" w:cs="Arial"/>
          <w:sz w:val="20"/>
          <w:szCs w:val="20"/>
        </w:rPr>
        <w:t xml:space="preserve">ter courses and future semester courses. </w:t>
      </w:r>
    </w:p>
    <w:p w14:paraId="2750E659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ePortfolios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the latest addition to AAC&amp;U’s list of high-impact educational practices, and higher education has developed a range of ways to implement them for integrative learning, programmatic assessment, and </w:t>
      </w:r>
      <w:r>
        <w:rPr>
          <w:rFonts w:ascii="Arial" w:eastAsia="Arial" w:hAnsi="Arial" w:cs="Arial"/>
          <w:sz w:val="20"/>
          <w:szCs w:val="20"/>
        </w:rPr>
        <w:t xml:space="preserve">career development. </w:t>
      </w:r>
      <w:proofErr w:type="spellStart"/>
      <w:r>
        <w:rPr>
          <w:rFonts w:ascii="Arial" w:eastAsia="Arial" w:hAnsi="Arial" w:cs="Arial"/>
          <w:sz w:val="20"/>
          <w:szCs w:val="20"/>
        </w:rPr>
        <w:t>ePortfolios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enable students to electronically collect their work </w:t>
      </w:r>
      <w:proofErr w:type="gramStart"/>
      <w:r>
        <w:rPr>
          <w:rFonts w:ascii="Arial" w:eastAsia="Arial" w:hAnsi="Arial" w:cs="Arial"/>
          <w:sz w:val="20"/>
          <w:szCs w:val="20"/>
        </w:rPr>
        <w:t>over time</w:t>
      </w:r>
      <w:proofErr w:type="gramEnd"/>
      <w:r>
        <w:rPr>
          <w:rFonts w:ascii="Arial" w:eastAsia="Arial" w:hAnsi="Arial" w:cs="Arial"/>
          <w:sz w:val="20"/>
          <w:szCs w:val="20"/>
        </w:rPr>
        <w:t>, reflect upon their personal and academic growth, and then share selected items with others, such as professors, advisors, and potential employers. Because colle</w:t>
      </w:r>
      <w:r>
        <w:rPr>
          <w:rFonts w:ascii="Arial" w:eastAsia="Arial" w:hAnsi="Arial" w:cs="Arial"/>
          <w:sz w:val="20"/>
          <w:szCs w:val="20"/>
        </w:rPr>
        <w:t xml:space="preserve">ction over time is a key element of the </w:t>
      </w:r>
      <w:proofErr w:type="spellStart"/>
      <w:r>
        <w:rPr>
          <w:rFonts w:ascii="Arial" w:eastAsia="Arial" w:hAnsi="Arial" w:cs="Arial"/>
          <w:sz w:val="20"/>
          <w:szCs w:val="20"/>
        </w:rPr>
        <w:t>ePortfolio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process, employing </w:t>
      </w:r>
      <w:proofErr w:type="spellStart"/>
      <w:r>
        <w:rPr>
          <w:rFonts w:ascii="Arial" w:eastAsia="Arial" w:hAnsi="Arial" w:cs="Arial"/>
          <w:sz w:val="20"/>
          <w:szCs w:val="20"/>
        </w:rPr>
        <w:t>ePortfolios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collaboration with other high-impact practices provides opportunities for students to make connections between various educational experiences. </w:t>
      </w:r>
    </w:p>
    <w:p w14:paraId="65A1B4E1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Co-sponsors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Teaching Reso</w:t>
      </w:r>
      <w:r>
        <w:rPr>
          <w:rFonts w:ascii="Arial" w:eastAsia="Arial" w:hAnsi="Arial" w:cs="Arial"/>
          <w:sz w:val="20"/>
          <w:szCs w:val="20"/>
        </w:rPr>
        <w:t>urce Center &amp; Academic Technologies and Innovations</w:t>
      </w:r>
    </w:p>
    <w:p w14:paraId="07A4FFB2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Eligibility:</w:t>
      </w:r>
      <w:r>
        <w:rPr>
          <w:rFonts w:ascii="Arial" w:eastAsia="Arial" w:hAnsi="Arial" w:cs="Arial"/>
          <w:sz w:val="20"/>
          <w:szCs w:val="20"/>
        </w:rPr>
        <w:t xml:space="preserve"> All faculty with at least a 1-year contract (full time, part time, and tenured/tenure-track), are welcome to apply!</w:t>
      </w:r>
    </w:p>
    <w:p w14:paraId="5FF20EFA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 Award Amount: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 Up to $1,500.00 </w:t>
      </w:r>
      <w:r>
        <w:rPr>
          <w:rFonts w:ascii="Arial" w:eastAsia="Arial" w:hAnsi="Arial" w:cs="Arial"/>
          <w:sz w:val="20"/>
          <w:szCs w:val="20"/>
        </w:rPr>
        <w:t>of Q2S Enhanced Pedagogy funds*for par</w:t>
      </w:r>
      <w:r>
        <w:rPr>
          <w:rFonts w:ascii="Arial" w:eastAsia="Arial" w:hAnsi="Arial" w:cs="Arial"/>
          <w:sz w:val="20"/>
          <w:szCs w:val="20"/>
        </w:rPr>
        <w:t xml:space="preserve">ticipating in </w:t>
      </w:r>
      <w:r>
        <w:rPr>
          <w:rFonts w:ascii="Arial" w:eastAsia="Arial" w:hAnsi="Arial" w:cs="Arial"/>
          <w:sz w:val="20"/>
          <w:szCs w:val="20"/>
          <w:u w:val="single"/>
        </w:rPr>
        <w:t>all three days</w:t>
      </w:r>
      <w:r>
        <w:rPr>
          <w:rFonts w:ascii="Arial" w:eastAsia="Arial" w:hAnsi="Arial" w:cs="Arial"/>
          <w:sz w:val="20"/>
          <w:szCs w:val="20"/>
        </w:rPr>
        <w:t xml:space="preserve"> of the institute, implementing a project and/or disseminating the work online through the Q2S </w:t>
      </w:r>
      <w:proofErr w:type="spellStart"/>
      <w:r>
        <w:rPr>
          <w:rFonts w:ascii="Arial" w:eastAsia="Arial" w:hAnsi="Arial" w:cs="Arial"/>
          <w:sz w:val="20"/>
          <w:szCs w:val="20"/>
        </w:rPr>
        <w:t>ScholarWorks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collection (for those qualifying for Q2S-EP funding) or the TRC </w:t>
      </w:r>
      <w:proofErr w:type="spellStart"/>
      <w:r>
        <w:rPr>
          <w:rFonts w:ascii="Arial" w:eastAsia="Arial" w:hAnsi="Arial" w:cs="Arial"/>
          <w:sz w:val="20"/>
          <w:szCs w:val="20"/>
        </w:rPr>
        <w:t>ScholarWorks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collection (for participants NOT qualifying</w:t>
      </w:r>
      <w:r>
        <w:rPr>
          <w:rFonts w:ascii="Arial" w:eastAsia="Arial" w:hAnsi="Arial" w:cs="Arial"/>
          <w:sz w:val="20"/>
          <w:szCs w:val="20"/>
        </w:rPr>
        <w:t xml:space="preserve"> for Q2S-EP funding). </w:t>
      </w:r>
    </w:p>
    <w:p w14:paraId="64357951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Q2S-EP funds</w:t>
        </w:r>
      </w:hyperlink>
      <w:r>
        <w:rPr>
          <w:rFonts w:ascii="Arial" w:eastAsia="Arial" w:hAnsi="Arial" w:cs="Arial"/>
          <w:sz w:val="20"/>
          <w:szCs w:val="20"/>
        </w:rPr>
        <w:t xml:space="preserve"> are a 1-time, one-shot funding mechanism offered through the Semester Conversion office (Not the TRC) for a minimum of 24 hours of professional development in research-based pedagogical practices that will help faculty redesign their courses for semesters</w:t>
      </w:r>
      <w:r>
        <w:rPr>
          <w:rFonts w:ascii="Arial" w:eastAsia="Arial" w:hAnsi="Arial" w:cs="Arial"/>
          <w:sz w:val="20"/>
          <w:szCs w:val="20"/>
        </w:rPr>
        <w:t xml:space="preserve">. These are separate from Q2S funds distributed for curriculum development and advising--so that faculty who have received these can still quality for Q2S-EP funding. </w:t>
      </w:r>
    </w:p>
    <w:tbl>
      <w:tblPr>
        <w:tblStyle w:val="a0"/>
        <w:tblW w:w="9926" w:type="dxa"/>
        <w:tblLayout w:type="fixed"/>
        <w:tblLook w:val="0400" w:firstRow="0" w:lastRow="0" w:firstColumn="0" w:lastColumn="0" w:noHBand="0" w:noVBand="1"/>
      </w:tblPr>
      <w:tblGrid>
        <w:gridCol w:w="9926"/>
      </w:tblGrid>
      <w:tr w:rsidR="00235E89" w14:paraId="1820EB58" w14:textId="77777777">
        <w:trPr>
          <w:trHeight w:val="58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F2DD" w14:textId="77777777" w:rsidR="00235E89" w:rsidRDefault="00973A8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complete the e</w:t>
            </w:r>
            <w:r>
              <w:rPr>
                <w:rFonts w:ascii="Arial" w:eastAsia="Arial" w:hAnsi="Arial" w:cs="Arial"/>
                <w:sz w:val="20"/>
                <w:szCs w:val="20"/>
              </w:rPr>
              <w:t>lectronic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form below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have </w:t>
            </w:r>
            <w:r>
              <w:rPr>
                <w:rFonts w:ascii="Arial" w:eastAsia="Arial" w:hAnsi="Arial" w:cs="Arial"/>
                <w:sz w:val="20"/>
                <w:szCs w:val="20"/>
              </w:rPr>
              <w:t>your Department Chair complete the 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rm below indicating that (a) the applicant will be available during meeting times and (b) will have reasonable department support for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project  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November 18, 2019 11:59pm.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Decisions will be announced during the week of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November 25, 2019.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14:paraId="41F1478A" w14:textId="77777777" w:rsidR="00235E89" w:rsidRDefault="00235E8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52584A" w14:textId="77777777" w:rsidR="00235E89" w:rsidRDefault="00235E8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1202F2" w14:textId="77777777" w:rsidR="00235E89" w:rsidRDefault="00973A81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hyperlink r:id="rId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Link to Electronic Application Form</w:t>
        </w:r>
      </w:hyperlink>
    </w:p>
    <w:p w14:paraId="1807E59E" w14:textId="77777777" w:rsidR="00235E89" w:rsidRDefault="00235E89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200A0DD" w14:textId="77777777" w:rsidR="00235E89" w:rsidRDefault="00973A81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Link to Department Chair Acknowledgement Form</w:t>
        </w:r>
      </w:hyperlink>
      <w:r>
        <w:rPr>
          <w:rFonts w:ascii="Arial" w:eastAsia="Arial" w:hAnsi="Arial" w:cs="Arial"/>
          <w:sz w:val="20"/>
          <w:szCs w:val="20"/>
        </w:rPr>
        <w:t xml:space="preserve"> -- have your Department Chair fill out the survey at this link on</w:t>
      </w:r>
      <w:r>
        <w:rPr>
          <w:rFonts w:ascii="Arial" w:eastAsia="Arial" w:hAnsi="Arial" w:cs="Arial"/>
          <w:sz w:val="20"/>
          <w:szCs w:val="20"/>
        </w:rPr>
        <w:t xml:space="preserve">ce you have shared your </w:t>
      </w:r>
      <w:proofErr w:type="spellStart"/>
      <w:r>
        <w:rPr>
          <w:rFonts w:ascii="Arial" w:eastAsia="Arial" w:hAnsi="Arial" w:cs="Arial"/>
          <w:sz w:val="20"/>
          <w:szCs w:val="20"/>
        </w:rPr>
        <w:t>ePortfolio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Proposal with him/her. Applications without Department Chair approval will not be considered.</w:t>
      </w:r>
    </w:p>
    <w:sectPr w:rsidR="00235E89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89"/>
    <w:rsid w:val="00235E89"/>
    <w:rsid w:val="00973A81"/>
    <w:rsid w:val="00B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2FE3"/>
  <w15:docId w15:val="{B0B05037-2BC5-504E-B871-5F178EF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F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8176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FoFhY36C9Zt8WqN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aRSPVAhRmaCfCMy8" TargetMode="External"/><Relationship Id="rId5" Type="http://schemas.openxmlformats.org/officeDocument/2006/relationships/hyperlink" Target="https://www.csusb.edu/semester/curriculum/faculty-stipe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dGn7R/u9FAHAow+9+q6Iggveg==">AMUW2mWF8nFeVnZZ/ZudDk7PamsKV/yDpNXUAqyxrqS+EarrIzQi7n0Jk68FWjKt0tfv5fbn+R2VHT2N1NIRPq7yrAFKV/BF40XF9F3A2DmHmKj0wa4j1NQ=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Cooper</dc:creator>
  <cp:lastModifiedBy>Elena Johnson</cp:lastModifiedBy>
  <cp:revision>2</cp:revision>
  <dcterms:created xsi:type="dcterms:W3CDTF">2019-09-24T18:54:00Z</dcterms:created>
  <dcterms:modified xsi:type="dcterms:W3CDTF">2019-09-24T18:54:00Z</dcterms:modified>
</cp:coreProperties>
</file>