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05CE" w:rsidRDefault="004A05CE" w:rsidP="00E77D10">
      <w:pPr>
        <w:pStyle w:val="NormalWeb"/>
        <w:spacing w:before="0" w:beforeAutospacing="0" w:after="0" w:afterAutospacing="0"/>
        <w:rPr>
          <w:rFonts w:asciiTheme="minorHAnsi" w:hAnsiTheme="minorHAnsi" w:cstheme="minorHAnsi"/>
          <w:b/>
          <w:bCs/>
          <w:color w:val="242424"/>
          <w:sz w:val="28"/>
          <w:szCs w:val="28"/>
        </w:rPr>
      </w:pPr>
    </w:p>
    <w:p w:rsidR="004A05CE" w:rsidRPr="00CF083F" w:rsidRDefault="004A05CE" w:rsidP="00E77D10">
      <w:pPr>
        <w:pStyle w:val="NormalWeb"/>
        <w:spacing w:before="0" w:beforeAutospacing="0" w:after="0" w:afterAutospacing="0"/>
        <w:rPr>
          <w:rFonts w:asciiTheme="minorHAnsi" w:hAnsiTheme="minorHAnsi" w:cstheme="minorHAnsi"/>
          <w:b/>
          <w:bCs/>
          <w:color w:val="000000" w:themeColor="text1"/>
          <w:sz w:val="28"/>
          <w:szCs w:val="28"/>
        </w:rPr>
      </w:pPr>
      <w:r w:rsidRPr="00CF083F">
        <w:rPr>
          <w:rFonts w:asciiTheme="minorHAnsi" w:hAnsiTheme="minorHAnsi" w:cstheme="minorHAnsi"/>
          <w:b/>
          <w:bCs/>
          <w:color w:val="000000" w:themeColor="text1"/>
          <w:sz w:val="28"/>
          <w:szCs w:val="28"/>
        </w:rPr>
        <w:t>AY 23-24 COMP THEMES: SEMESTER STUDENTS</w:t>
      </w:r>
    </w:p>
    <w:p w:rsidR="004A05CE" w:rsidRPr="00CF083F" w:rsidRDefault="004A05CE" w:rsidP="00E77D10">
      <w:pPr>
        <w:pStyle w:val="NormalWeb"/>
        <w:spacing w:before="0" w:beforeAutospacing="0" w:after="0" w:afterAutospacing="0"/>
        <w:rPr>
          <w:rFonts w:asciiTheme="minorHAnsi" w:hAnsiTheme="minorHAnsi" w:cstheme="minorHAnsi"/>
          <w:b/>
          <w:bCs/>
          <w:color w:val="000000" w:themeColor="text1"/>
          <w:sz w:val="28"/>
          <w:szCs w:val="28"/>
        </w:rPr>
      </w:pPr>
    </w:p>
    <w:p w:rsidR="00AC6904" w:rsidRPr="00CF083F" w:rsidRDefault="00AC6904" w:rsidP="00AC6904">
      <w:pPr>
        <w:pStyle w:val="NormalWeb"/>
        <w:spacing w:before="0" w:beforeAutospacing="0"/>
        <w:rPr>
          <w:rFonts w:asciiTheme="minorHAnsi" w:hAnsiTheme="minorHAnsi" w:cstheme="minorHAnsi"/>
          <w:color w:val="000000" w:themeColor="text1"/>
          <w:sz w:val="28"/>
          <w:szCs w:val="28"/>
        </w:rPr>
      </w:pPr>
      <w:r w:rsidRPr="00CF083F">
        <w:rPr>
          <w:rFonts w:asciiTheme="minorHAnsi" w:hAnsiTheme="minorHAnsi" w:cstheme="minorHAnsi"/>
          <w:color w:val="000000" w:themeColor="text1"/>
          <w:sz w:val="28"/>
          <w:szCs w:val="28"/>
        </w:rPr>
        <w:t>For quarter catalog followers, on exam day you will be required to answer two core questions and one integrative question. For semester catalog followers, on exam day you will be required to answer one core question, one concentration question, and one integrative question. Students can select their core class(es).   Quarter catalog followers may NOT answer Concentration questions.</w:t>
      </w:r>
    </w:p>
    <w:p w:rsidR="00AC6904" w:rsidRPr="00CF083F" w:rsidRDefault="00AC6904" w:rsidP="00AC6904">
      <w:pPr>
        <w:pStyle w:val="NormalWeb"/>
        <w:spacing w:before="0" w:beforeAutospacing="0"/>
        <w:rPr>
          <w:rFonts w:asciiTheme="minorHAnsi" w:hAnsiTheme="minorHAnsi" w:cstheme="minorHAnsi"/>
          <w:color w:val="000000" w:themeColor="text1"/>
          <w:sz w:val="28"/>
          <w:szCs w:val="28"/>
        </w:rPr>
      </w:pPr>
      <w:r w:rsidRPr="00CF083F">
        <w:rPr>
          <w:rStyle w:val="Emphasis"/>
          <w:rFonts w:asciiTheme="minorHAnsi" w:hAnsiTheme="minorHAnsi" w:cstheme="minorHAnsi"/>
          <w:color w:val="000000" w:themeColor="text1"/>
          <w:sz w:val="28"/>
          <w:szCs w:val="28"/>
        </w:rPr>
        <w:t>Note</w:t>
      </w:r>
      <w:r w:rsidRPr="00CF083F">
        <w:rPr>
          <w:rFonts w:asciiTheme="minorHAnsi" w:hAnsiTheme="minorHAnsi" w:cstheme="minorHAnsi"/>
          <w:color w:val="000000" w:themeColor="text1"/>
          <w:sz w:val="28"/>
          <w:szCs w:val="28"/>
        </w:rPr>
        <w:t>: For quarter catalog followers, students taking the</w:t>
      </w:r>
      <w:r w:rsidRPr="00CF083F">
        <w:rPr>
          <w:rStyle w:val="apple-converted-space"/>
          <w:rFonts w:asciiTheme="minorHAnsi" w:hAnsiTheme="minorHAnsi" w:cstheme="minorHAnsi"/>
          <w:color w:val="000000" w:themeColor="text1"/>
          <w:sz w:val="28"/>
          <w:szCs w:val="28"/>
        </w:rPr>
        <w:t> </w:t>
      </w:r>
      <w:hyperlink r:id="rId5" w:history="1">
        <w:r w:rsidRPr="00CF083F">
          <w:rPr>
            <w:rStyle w:val="Hyperlink"/>
            <w:rFonts w:asciiTheme="minorHAnsi" w:hAnsiTheme="minorHAnsi" w:cstheme="minorHAnsi"/>
            <w:color w:val="000000" w:themeColor="text1"/>
            <w:sz w:val="28"/>
            <w:szCs w:val="28"/>
            <w:u w:val="none"/>
          </w:rPr>
          <w:t>Concentration in Public Financial Management</w:t>
        </w:r>
      </w:hyperlink>
      <w:r w:rsidRPr="00CF083F">
        <w:rPr>
          <w:rFonts w:asciiTheme="minorHAnsi" w:hAnsiTheme="minorHAnsi" w:cstheme="minorHAnsi"/>
          <w:color w:val="000000" w:themeColor="text1"/>
          <w:sz w:val="28"/>
          <w:szCs w:val="28"/>
        </w:rPr>
        <w:t> MUST answer the 6150 and 6630 questions, and students in the </w:t>
      </w:r>
      <w:hyperlink r:id="rId6" w:history="1">
        <w:r w:rsidRPr="00CF083F">
          <w:rPr>
            <w:rStyle w:val="Hyperlink"/>
            <w:rFonts w:asciiTheme="minorHAnsi" w:hAnsiTheme="minorHAnsi" w:cstheme="minorHAnsi"/>
            <w:color w:val="000000" w:themeColor="text1"/>
            <w:sz w:val="28"/>
            <w:szCs w:val="28"/>
            <w:u w:val="none"/>
          </w:rPr>
          <w:t>Concentration in Leadership</w:t>
        </w:r>
      </w:hyperlink>
      <w:r w:rsidRPr="00CF083F">
        <w:rPr>
          <w:rFonts w:asciiTheme="minorHAnsi" w:hAnsiTheme="minorHAnsi" w:cstheme="minorHAnsi"/>
          <w:color w:val="000000" w:themeColor="text1"/>
          <w:sz w:val="28"/>
          <w:szCs w:val="28"/>
        </w:rPr>
        <w:t> MUST answer the 6620 and 6640 questions. For semester catalog followers, students can choose any core class, however, they must answer the question for their concentration.</w:t>
      </w:r>
    </w:p>
    <w:p w:rsidR="00E77D10" w:rsidRPr="00D77362" w:rsidRDefault="00E77D10" w:rsidP="00E77D10">
      <w:pPr>
        <w:pStyle w:val="NormalWeb"/>
        <w:spacing w:before="0" w:beforeAutospacing="0" w:after="0" w:afterAutospacing="0"/>
        <w:rPr>
          <w:rFonts w:asciiTheme="minorHAnsi" w:hAnsiTheme="minorHAnsi" w:cstheme="minorHAnsi"/>
          <w:b/>
          <w:bCs/>
          <w:color w:val="242424"/>
          <w:sz w:val="28"/>
          <w:szCs w:val="28"/>
        </w:rPr>
      </w:pPr>
      <w:r w:rsidRPr="00D77362">
        <w:rPr>
          <w:rFonts w:asciiTheme="minorHAnsi" w:hAnsiTheme="minorHAnsi" w:cstheme="minorHAnsi"/>
          <w:b/>
          <w:bCs/>
          <w:color w:val="242424"/>
          <w:sz w:val="28"/>
          <w:szCs w:val="28"/>
        </w:rPr>
        <w:t xml:space="preserve">PA 6030 </w:t>
      </w:r>
    </w:p>
    <w:p w:rsidR="00CF083F" w:rsidRDefault="00CF083F" w:rsidP="00E77D10">
      <w:pPr>
        <w:pStyle w:val="NormalWeb"/>
        <w:spacing w:before="0" w:beforeAutospacing="0" w:after="0" w:afterAutospacing="0"/>
        <w:rPr>
          <w:rFonts w:asciiTheme="minorHAnsi" w:hAnsiTheme="minorHAnsi" w:cstheme="minorHAnsi"/>
          <w:color w:val="242424"/>
          <w:sz w:val="28"/>
          <w:szCs w:val="28"/>
        </w:rPr>
      </w:pPr>
    </w:p>
    <w:p w:rsidR="00E77D10" w:rsidRPr="00D77362" w:rsidRDefault="00E77D10" w:rsidP="00E77D10">
      <w:pPr>
        <w:pStyle w:val="NormalWeb"/>
        <w:spacing w:before="0" w:beforeAutospacing="0" w:after="0" w:afterAutospacing="0"/>
        <w:rPr>
          <w:rFonts w:asciiTheme="minorHAnsi" w:hAnsiTheme="minorHAnsi" w:cstheme="minorHAnsi"/>
          <w:color w:val="242424"/>
          <w:sz w:val="28"/>
          <w:szCs w:val="28"/>
        </w:rPr>
      </w:pPr>
      <w:r w:rsidRPr="00D77362">
        <w:rPr>
          <w:rFonts w:asciiTheme="minorHAnsi" w:hAnsiTheme="minorHAnsi" w:cstheme="minorHAnsi"/>
          <w:color w:val="242424"/>
          <w:sz w:val="28"/>
          <w:szCs w:val="28"/>
        </w:rPr>
        <w:t xml:space="preserve">The </w:t>
      </w:r>
      <w:r w:rsidR="0013788F" w:rsidRPr="00D77362">
        <w:rPr>
          <w:rFonts w:asciiTheme="minorHAnsi" w:hAnsiTheme="minorHAnsi" w:cstheme="minorHAnsi"/>
          <w:color w:val="242424"/>
          <w:sz w:val="28"/>
          <w:szCs w:val="28"/>
        </w:rPr>
        <w:t xml:space="preserve">proper </w:t>
      </w:r>
      <w:r w:rsidRPr="00D77362">
        <w:rPr>
          <w:rFonts w:asciiTheme="minorHAnsi" w:hAnsiTheme="minorHAnsi" w:cstheme="minorHAnsi"/>
          <w:color w:val="242424"/>
          <w:sz w:val="28"/>
          <w:szCs w:val="28"/>
        </w:rPr>
        <w:t xml:space="preserve">use of surveys in </w:t>
      </w:r>
      <w:r w:rsidR="00EB27ED" w:rsidRPr="00D77362">
        <w:rPr>
          <w:rFonts w:asciiTheme="minorHAnsi" w:hAnsiTheme="minorHAnsi" w:cstheme="minorHAnsi"/>
          <w:color w:val="242424"/>
          <w:sz w:val="28"/>
          <w:szCs w:val="28"/>
        </w:rPr>
        <w:t xml:space="preserve">applied </w:t>
      </w:r>
      <w:r w:rsidRPr="00D77362">
        <w:rPr>
          <w:rFonts w:asciiTheme="minorHAnsi" w:hAnsiTheme="minorHAnsi" w:cstheme="minorHAnsi"/>
          <w:color w:val="242424"/>
          <w:sz w:val="28"/>
          <w:szCs w:val="28"/>
        </w:rPr>
        <w:t>public service organizational and community research.</w:t>
      </w:r>
      <w:r w:rsidR="007D5A15" w:rsidRPr="00D77362">
        <w:rPr>
          <w:rFonts w:asciiTheme="minorHAnsi" w:hAnsiTheme="minorHAnsi" w:cstheme="minorHAnsi"/>
          <w:color w:val="242424"/>
          <w:sz w:val="28"/>
          <w:szCs w:val="28"/>
        </w:rPr>
        <w:t xml:space="preserve"> </w:t>
      </w:r>
    </w:p>
    <w:p w:rsidR="00E77D10" w:rsidRPr="00D77362" w:rsidRDefault="00E77D10" w:rsidP="00E77D10">
      <w:pPr>
        <w:pStyle w:val="NormalWeb"/>
        <w:spacing w:before="0" w:beforeAutospacing="0" w:after="0" w:afterAutospacing="0"/>
        <w:rPr>
          <w:rFonts w:asciiTheme="minorHAnsi" w:hAnsiTheme="minorHAnsi" w:cstheme="minorHAnsi"/>
          <w:b/>
          <w:bCs/>
          <w:color w:val="242424"/>
          <w:sz w:val="28"/>
          <w:szCs w:val="28"/>
        </w:rPr>
      </w:pPr>
    </w:p>
    <w:p w:rsidR="00CF083F" w:rsidRDefault="00CF083F" w:rsidP="00E77D10">
      <w:pPr>
        <w:pStyle w:val="NormalWeb"/>
        <w:spacing w:before="0" w:beforeAutospacing="0" w:after="0" w:afterAutospacing="0"/>
        <w:rPr>
          <w:rFonts w:asciiTheme="minorHAnsi" w:hAnsiTheme="minorHAnsi" w:cstheme="minorHAnsi"/>
          <w:b/>
          <w:bCs/>
          <w:color w:val="242424"/>
          <w:sz w:val="28"/>
          <w:szCs w:val="28"/>
        </w:rPr>
      </w:pPr>
    </w:p>
    <w:p w:rsidR="00E77D10" w:rsidRPr="00D77362" w:rsidRDefault="00E77D10" w:rsidP="00E77D10">
      <w:pPr>
        <w:pStyle w:val="NormalWeb"/>
        <w:spacing w:before="0" w:beforeAutospacing="0" w:after="0" w:afterAutospacing="0"/>
        <w:rPr>
          <w:rFonts w:asciiTheme="minorHAnsi" w:hAnsiTheme="minorHAnsi" w:cstheme="minorHAnsi"/>
          <w:b/>
          <w:bCs/>
          <w:color w:val="242424"/>
          <w:sz w:val="28"/>
          <w:szCs w:val="28"/>
        </w:rPr>
      </w:pPr>
      <w:r w:rsidRPr="00D77362">
        <w:rPr>
          <w:rFonts w:asciiTheme="minorHAnsi" w:hAnsiTheme="minorHAnsi" w:cstheme="minorHAnsi"/>
          <w:b/>
          <w:bCs/>
          <w:color w:val="242424"/>
          <w:sz w:val="28"/>
          <w:szCs w:val="28"/>
        </w:rPr>
        <w:t>PA 6110</w:t>
      </w:r>
    </w:p>
    <w:p w:rsidR="00CF083F" w:rsidRDefault="00CF083F" w:rsidP="00E77D10">
      <w:pPr>
        <w:pStyle w:val="NormalWeb"/>
        <w:spacing w:before="0" w:beforeAutospacing="0" w:after="0" w:afterAutospacing="0"/>
        <w:rPr>
          <w:rFonts w:asciiTheme="minorHAnsi" w:hAnsiTheme="minorHAnsi" w:cstheme="minorHAnsi"/>
          <w:sz w:val="28"/>
          <w:szCs w:val="28"/>
        </w:rPr>
      </w:pPr>
    </w:p>
    <w:p w:rsidR="00E77D10" w:rsidRPr="00D77362" w:rsidRDefault="004A05CE" w:rsidP="00E77D10">
      <w:pPr>
        <w:pStyle w:val="NormalWeb"/>
        <w:spacing w:before="0" w:beforeAutospacing="0" w:after="0" w:afterAutospacing="0"/>
        <w:rPr>
          <w:rFonts w:asciiTheme="minorHAnsi" w:hAnsiTheme="minorHAnsi" w:cstheme="minorHAnsi"/>
          <w:b/>
          <w:bCs/>
          <w:color w:val="242424"/>
          <w:sz w:val="28"/>
          <w:szCs w:val="28"/>
        </w:rPr>
      </w:pPr>
      <w:r w:rsidRPr="00D77362">
        <w:rPr>
          <w:rFonts w:asciiTheme="minorHAnsi" w:hAnsiTheme="minorHAnsi" w:cstheme="minorHAnsi"/>
          <w:sz w:val="28"/>
          <w:szCs w:val="28"/>
        </w:rPr>
        <w:t>Representative bureaucracy in contemporary public administration</w:t>
      </w:r>
    </w:p>
    <w:p w:rsidR="004A05CE" w:rsidRDefault="004A05CE" w:rsidP="00E77D10">
      <w:pPr>
        <w:pStyle w:val="NormalWeb"/>
        <w:spacing w:before="0" w:beforeAutospacing="0" w:after="0" w:afterAutospacing="0"/>
        <w:rPr>
          <w:rFonts w:asciiTheme="minorHAnsi" w:hAnsiTheme="minorHAnsi" w:cstheme="minorHAnsi"/>
          <w:b/>
          <w:bCs/>
          <w:color w:val="242424"/>
          <w:sz w:val="28"/>
          <w:szCs w:val="28"/>
        </w:rPr>
      </w:pPr>
    </w:p>
    <w:p w:rsidR="00CF083F" w:rsidRDefault="00CF083F" w:rsidP="00D77362">
      <w:pPr>
        <w:pStyle w:val="NormalWeb"/>
        <w:spacing w:before="0" w:beforeAutospacing="0" w:after="0" w:afterAutospacing="0"/>
        <w:rPr>
          <w:rFonts w:asciiTheme="minorHAnsi" w:hAnsiTheme="minorHAnsi" w:cstheme="minorHAnsi"/>
          <w:b/>
          <w:bCs/>
          <w:color w:val="242424"/>
          <w:sz w:val="28"/>
          <w:szCs w:val="28"/>
        </w:rPr>
      </w:pPr>
    </w:p>
    <w:p w:rsidR="00D77362" w:rsidRPr="00D77362" w:rsidRDefault="00D77362" w:rsidP="00D77362">
      <w:pPr>
        <w:pStyle w:val="NormalWeb"/>
        <w:spacing w:before="0" w:beforeAutospacing="0" w:after="0" w:afterAutospacing="0"/>
        <w:rPr>
          <w:rFonts w:asciiTheme="minorHAnsi" w:hAnsiTheme="minorHAnsi" w:cstheme="minorHAnsi"/>
          <w:b/>
          <w:bCs/>
          <w:color w:val="242424"/>
          <w:sz w:val="28"/>
          <w:szCs w:val="28"/>
        </w:rPr>
      </w:pPr>
      <w:r w:rsidRPr="00D77362">
        <w:rPr>
          <w:rFonts w:asciiTheme="minorHAnsi" w:hAnsiTheme="minorHAnsi" w:cstheme="minorHAnsi"/>
          <w:b/>
          <w:bCs/>
          <w:color w:val="242424"/>
          <w:sz w:val="28"/>
          <w:szCs w:val="28"/>
        </w:rPr>
        <w:t xml:space="preserve">PA 6150 </w:t>
      </w:r>
    </w:p>
    <w:p w:rsidR="00CF083F" w:rsidRDefault="00CF083F" w:rsidP="00D77362">
      <w:pPr>
        <w:rPr>
          <w:rFonts w:cstheme="minorHAnsi"/>
          <w:sz w:val="28"/>
          <w:szCs w:val="28"/>
        </w:rPr>
      </w:pPr>
    </w:p>
    <w:p w:rsidR="00D77362" w:rsidRPr="00D77362" w:rsidRDefault="00D77362" w:rsidP="00D77362">
      <w:pPr>
        <w:rPr>
          <w:rFonts w:cstheme="minorHAnsi"/>
          <w:sz w:val="28"/>
          <w:szCs w:val="28"/>
        </w:rPr>
      </w:pPr>
      <w:r w:rsidRPr="00D77362">
        <w:rPr>
          <w:rFonts w:cstheme="minorHAnsi"/>
          <w:sz w:val="28"/>
          <w:szCs w:val="28"/>
        </w:rPr>
        <w:t>Fiscal stress and local government</w:t>
      </w:r>
    </w:p>
    <w:p w:rsidR="00CF083F" w:rsidRDefault="00CF083F" w:rsidP="00CF083F">
      <w:pPr>
        <w:pStyle w:val="NormalWeb"/>
        <w:rPr>
          <w:rFonts w:asciiTheme="minorHAnsi" w:hAnsiTheme="minorHAnsi" w:cstheme="minorHAnsi"/>
          <w:b/>
          <w:bCs/>
          <w:color w:val="000000"/>
          <w:sz w:val="28"/>
          <w:szCs w:val="28"/>
        </w:rPr>
      </w:pPr>
    </w:p>
    <w:p w:rsidR="00CF083F" w:rsidRDefault="00AC6904" w:rsidP="00CF083F">
      <w:pPr>
        <w:pStyle w:val="NormalWeb"/>
        <w:rPr>
          <w:rFonts w:asciiTheme="minorHAnsi" w:hAnsiTheme="minorHAnsi" w:cstheme="minorHAnsi"/>
          <w:b/>
          <w:bCs/>
          <w:color w:val="000000"/>
          <w:sz w:val="28"/>
          <w:szCs w:val="28"/>
        </w:rPr>
      </w:pPr>
      <w:r w:rsidRPr="00D77362">
        <w:rPr>
          <w:rFonts w:asciiTheme="minorHAnsi" w:hAnsiTheme="minorHAnsi" w:cstheme="minorHAnsi"/>
          <w:b/>
          <w:bCs/>
          <w:color w:val="000000"/>
          <w:sz w:val="28"/>
          <w:szCs w:val="28"/>
        </w:rPr>
        <w:t>PA 6500</w:t>
      </w:r>
    </w:p>
    <w:p w:rsidR="00D77362" w:rsidRPr="00CF083F" w:rsidRDefault="00D77362" w:rsidP="00CF083F">
      <w:pPr>
        <w:pStyle w:val="NormalWeb"/>
        <w:rPr>
          <w:rFonts w:asciiTheme="minorHAnsi" w:hAnsiTheme="minorHAnsi" w:cstheme="minorHAnsi"/>
          <w:b/>
          <w:bCs/>
          <w:color w:val="000000"/>
          <w:sz w:val="28"/>
          <w:szCs w:val="28"/>
        </w:rPr>
      </w:pPr>
      <w:r w:rsidRPr="00D77362">
        <w:rPr>
          <w:rFonts w:asciiTheme="minorHAnsi" w:hAnsiTheme="minorHAnsi" w:cstheme="minorHAnsi"/>
          <w:sz w:val="28"/>
          <w:szCs w:val="28"/>
        </w:rPr>
        <w:t xml:space="preserve">Governance and management of </w:t>
      </w:r>
      <w:r w:rsidRPr="00D77362">
        <w:rPr>
          <w:rFonts w:asciiTheme="minorHAnsi" w:hAnsiTheme="minorHAnsi" w:cstheme="minorHAnsi"/>
          <w:sz w:val="28"/>
          <w:szCs w:val="28"/>
        </w:rPr>
        <w:t xml:space="preserve">artificial intelligence. </w:t>
      </w:r>
    </w:p>
    <w:p w:rsidR="00CF083F" w:rsidRDefault="00CF083F" w:rsidP="00E77D10">
      <w:pPr>
        <w:pStyle w:val="NormalWeb"/>
        <w:rPr>
          <w:rFonts w:asciiTheme="minorHAnsi" w:hAnsiTheme="minorHAnsi" w:cstheme="minorHAnsi"/>
          <w:b/>
          <w:bCs/>
          <w:color w:val="000000"/>
          <w:sz w:val="28"/>
          <w:szCs w:val="28"/>
        </w:rPr>
      </w:pPr>
    </w:p>
    <w:p w:rsidR="00CF083F" w:rsidRDefault="00CF083F" w:rsidP="00E77D10">
      <w:pPr>
        <w:pStyle w:val="NormalWeb"/>
        <w:rPr>
          <w:rFonts w:asciiTheme="minorHAnsi" w:hAnsiTheme="minorHAnsi" w:cstheme="minorHAnsi"/>
          <w:b/>
          <w:bCs/>
          <w:color w:val="000000"/>
          <w:sz w:val="28"/>
          <w:szCs w:val="28"/>
        </w:rPr>
      </w:pPr>
    </w:p>
    <w:p w:rsidR="004A05CE" w:rsidRPr="00D77362" w:rsidRDefault="00E77D10" w:rsidP="00E77D10">
      <w:pPr>
        <w:pStyle w:val="NormalWeb"/>
        <w:rPr>
          <w:rFonts w:asciiTheme="minorHAnsi" w:hAnsiTheme="minorHAnsi" w:cstheme="minorHAnsi"/>
          <w:b/>
          <w:bCs/>
          <w:color w:val="000000"/>
          <w:sz w:val="28"/>
          <w:szCs w:val="28"/>
        </w:rPr>
      </w:pPr>
      <w:r w:rsidRPr="00D77362">
        <w:rPr>
          <w:rFonts w:asciiTheme="minorHAnsi" w:hAnsiTheme="minorHAnsi" w:cstheme="minorHAnsi"/>
          <w:b/>
          <w:bCs/>
          <w:color w:val="000000"/>
          <w:sz w:val="28"/>
          <w:szCs w:val="28"/>
        </w:rPr>
        <w:lastRenderedPageBreak/>
        <w:t>PA 6620</w:t>
      </w:r>
    </w:p>
    <w:p w:rsidR="00E77D10" w:rsidRPr="00D77362" w:rsidRDefault="00E77D10" w:rsidP="00E77D10">
      <w:pPr>
        <w:pStyle w:val="NormalWeb"/>
        <w:rPr>
          <w:rFonts w:asciiTheme="minorHAnsi" w:hAnsiTheme="minorHAnsi" w:cstheme="minorHAnsi"/>
          <w:b/>
          <w:bCs/>
          <w:color w:val="000000"/>
          <w:sz w:val="28"/>
          <w:szCs w:val="28"/>
        </w:rPr>
      </w:pPr>
      <w:r w:rsidRPr="00D77362">
        <w:rPr>
          <w:rFonts w:asciiTheme="minorHAnsi" w:hAnsiTheme="minorHAnsi" w:cstheme="minorHAnsi"/>
          <w:color w:val="000000"/>
          <w:sz w:val="28"/>
          <w:szCs w:val="28"/>
        </w:rPr>
        <w:t xml:space="preserve">The best practices in public service recruitment and candidate selection.  </w:t>
      </w:r>
    </w:p>
    <w:p w:rsidR="00CF083F" w:rsidRDefault="00CF083F" w:rsidP="00E77D10">
      <w:pPr>
        <w:pStyle w:val="NormalWeb"/>
        <w:spacing w:before="0" w:beforeAutospacing="0" w:after="0" w:afterAutospacing="0"/>
        <w:rPr>
          <w:rFonts w:asciiTheme="minorHAnsi" w:hAnsiTheme="minorHAnsi" w:cstheme="minorHAnsi"/>
          <w:b/>
          <w:bCs/>
          <w:color w:val="242424"/>
          <w:sz w:val="28"/>
          <w:szCs w:val="28"/>
        </w:rPr>
      </w:pPr>
    </w:p>
    <w:p w:rsidR="00E77D10" w:rsidRPr="00D77362" w:rsidRDefault="00E77D10" w:rsidP="00E77D10">
      <w:pPr>
        <w:pStyle w:val="NormalWeb"/>
        <w:spacing w:before="0" w:beforeAutospacing="0" w:after="0" w:afterAutospacing="0"/>
        <w:rPr>
          <w:rFonts w:asciiTheme="minorHAnsi" w:hAnsiTheme="minorHAnsi" w:cstheme="minorHAnsi"/>
          <w:b/>
          <w:bCs/>
          <w:color w:val="242424"/>
          <w:sz w:val="28"/>
          <w:szCs w:val="28"/>
        </w:rPr>
      </w:pPr>
      <w:r w:rsidRPr="00D77362">
        <w:rPr>
          <w:rFonts w:asciiTheme="minorHAnsi" w:hAnsiTheme="minorHAnsi" w:cstheme="minorHAnsi"/>
          <w:b/>
          <w:bCs/>
          <w:color w:val="242424"/>
          <w:sz w:val="28"/>
          <w:szCs w:val="28"/>
        </w:rPr>
        <w:t xml:space="preserve">PA 6630 </w:t>
      </w:r>
    </w:p>
    <w:p w:rsidR="00CF083F" w:rsidRDefault="00CF083F" w:rsidP="0013788F">
      <w:pPr>
        <w:rPr>
          <w:rFonts w:cstheme="minorHAnsi"/>
          <w:sz w:val="28"/>
          <w:szCs w:val="28"/>
        </w:rPr>
      </w:pPr>
    </w:p>
    <w:p w:rsidR="00CF083F" w:rsidRDefault="0013788F" w:rsidP="00CF083F">
      <w:pPr>
        <w:rPr>
          <w:rFonts w:cstheme="minorHAnsi"/>
          <w:sz w:val="28"/>
          <w:szCs w:val="28"/>
        </w:rPr>
      </w:pPr>
      <w:r w:rsidRPr="00D77362">
        <w:rPr>
          <w:rFonts w:cstheme="minorHAnsi"/>
          <w:sz w:val="28"/>
          <w:szCs w:val="28"/>
        </w:rPr>
        <w:t>Equity and fairness in the allocation of resources</w:t>
      </w:r>
      <w:r w:rsidRPr="00D77362">
        <w:rPr>
          <w:rFonts w:cstheme="minorHAnsi"/>
          <w:sz w:val="28"/>
          <w:szCs w:val="28"/>
        </w:rPr>
        <w:t>.</w:t>
      </w:r>
    </w:p>
    <w:p w:rsidR="00CF083F" w:rsidRDefault="00CF083F" w:rsidP="00CF083F">
      <w:pPr>
        <w:rPr>
          <w:rFonts w:cstheme="minorHAnsi"/>
          <w:b/>
          <w:bCs/>
          <w:color w:val="242424"/>
          <w:sz w:val="28"/>
          <w:szCs w:val="28"/>
        </w:rPr>
      </w:pPr>
    </w:p>
    <w:p w:rsidR="00CF083F" w:rsidRDefault="00CF083F" w:rsidP="00CF083F">
      <w:pPr>
        <w:rPr>
          <w:rFonts w:cstheme="minorHAnsi"/>
          <w:b/>
          <w:bCs/>
          <w:color w:val="242424"/>
          <w:sz w:val="28"/>
          <w:szCs w:val="28"/>
        </w:rPr>
      </w:pPr>
    </w:p>
    <w:p w:rsidR="00E77D10" w:rsidRPr="00CF083F" w:rsidRDefault="00E77D10" w:rsidP="00CF083F">
      <w:pPr>
        <w:rPr>
          <w:rFonts w:cstheme="minorHAnsi"/>
          <w:sz w:val="28"/>
          <w:szCs w:val="28"/>
        </w:rPr>
      </w:pPr>
      <w:r w:rsidRPr="00D77362">
        <w:rPr>
          <w:rFonts w:cstheme="minorHAnsi"/>
          <w:b/>
          <w:bCs/>
          <w:color w:val="242424"/>
          <w:sz w:val="28"/>
          <w:szCs w:val="28"/>
        </w:rPr>
        <w:t xml:space="preserve">PA 6640  </w:t>
      </w:r>
    </w:p>
    <w:p w:rsidR="00CF083F" w:rsidRDefault="00CF083F" w:rsidP="00E77D10">
      <w:pPr>
        <w:pStyle w:val="NormalWeb"/>
        <w:spacing w:before="0" w:beforeAutospacing="0" w:after="0" w:afterAutospacing="0"/>
        <w:rPr>
          <w:rFonts w:asciiTheme="minorHAnsi" w:hAnsiTheme="minorHAnsi" w:cstheme="minorHAnsi"/>
          <w:color w:val="242424"/>
          <w:sz w:val="28"/>
          <w:szCs w:val="28"/>
        </w:rPr>
      </w:pPr>
    </w:p>
    <w:p w:rsidR="00E77D10" w:rsidRPr="00D77362" w:rsidRDefault="0013788F" w:rsidP="00E77D10">
      <w:pPr>
        <w:pStyle w:val="NormalWeb"/>
        <w:spacing w:before="0" w:beforeAutospacing="0" w:after="0" w:afterAutospacing="0"/>
        <w:rPr>
          <w:rFonts w:asciiTheme="minorHAnsi" w:hAnsiTheme="minorHAnsi" w:cstheme="minorHAnsi"/>
          <w:color w:val="242424"/>
          <w:sz w:val="28"/>
          <w:szCs w:val="28"/>
        </w:rPr>
      </w:pPr>
      <w:r w:rsidRPr="00D77362">
        <w:rPr>
          <w:rFonts w:asciiTheme="minorHAnsi" w:hAnsiTheme="minorHAnsi" w:cstheme="minorHAnsi"/>
          <w:color w:val="242424"/>
          <w:sz w:val="28"/>
          <w:szCs w:val="28"/>
        </w:rPr>
        <w:t>The use of</w:t>
      </w:r>
      <w:r w:rsidR="00857622" w:rsidRPr="00D77362">
        <w:rPr>
          <w:rFonts w:asciiTheme="minorHAnsi" w:hAnsiTheme="minorHAnsi" w:cstheme="minorHAnsi"/>
          <w:color w:val="242424"/>
          <w:sz w:val="28"/>
          <w:szCs w:val="28"/>
        </w:rPr>
        <w:t xml:space="preserve"> </w:t>
      </w:r>
      <w:r w:rsidR="00E77D10" w:rsidRPr="00D77362">
        <w:rPr>
          <w:rFonts w:asciiTheme="minorHAnsi" w:hAnsiTheme="minorHAnsi" w:cstheme="minorHAnsi"/>
          <w:color w:val="242424"/>
          <w:sz w:val="28"/>
          <w:szCs w:val="28"/>
        </w:rPr>
        <w:t xml:space="preserve">teams in public service provision </w:t>
      </w:r>
    </w:p>
    <w:p w:rsidR="00E77D10" w:rsidRPr="00D77362" w:rsidRDefault="00E77D10" w:rsidP="00E77D10">
      <w:pPr>
        <w:pStyle w:val="NormalWeb"/>
        <w:spacing w:before="0" w:beforeAutospacing="0" w:after="0" w:afterAutospacing="0"/>
        <w:rPr>
          <w:rFonts w:asciiTheme="minorHAnsi" w:hAnsiTheme="minorHAnsi" w:cstheme="minorHAnsi"/>
          <w:color w:val="242424"/>
          <w:sz w:val="28"/>
          <w:szCs w:val="28"/>
        </w:rPr>
      </w:pPr>
    </w:p>
    <w:p w:rsidR="00CF083F" w:rsidRDefault="00CF083F" w:rsidP="00E77D10">
      <w:pPr>
        <w:pStyle w:val="NormalWeb"/>
        <w:spacing w:before="0" w:beforeAutospacing="0" w:after="0" w:afterAutospacing="0"/>
        <w:rPr>
          <w:rFonts w:asciiTheme="minorHAnsi" w:hAnsiTheme="minorHAnsi" w:cstheme="minorHAnsi"/>
          <w:b/>
          <w:bCs/>
          <w:color w:val="242424"/>
          <w:sz w:val="28"/>
          <w:szCs w:val="28"/>
        </w:rPr>
      </w:pPr>
    </w:p>
    <w:p w:rsidR="00AC6904" w:rsidRPr="00D77362" w:rsidRDefault="00AC6904" w:rsidP="00E77D10">
      <w:pPr>
        <w:pStyle w:val="NormalWeb"/>
        <w:spacing w:before="0" w:beforeAutospacing="0" w:after="0" w:afterAutospacing="0"/>
        <w:rPr>
          <w:rFonts w:asciiTheme="minorHAnsi" w:hAnsiTheme="minorHAnsi" w:cstheme="minorHAnsi"/>
          <w:b/>
          <w:bCs/>
          <w:color w:val="242424"/>
          <w:sz w:val="28"/>
          <w:szCs w:val="28"/>
        </w:rPr>
      </w:pPr>
      <w:r w:rsidRPr="00D77362">
        <w:rPr>
          <w:rFonts w:asciiTheme="minorHAnsi" w:hAnsiTheme="minorHAnsi" w:cstheme="minorHAnsi"/>
          <w:b/>
          <w:bCs/>
          <w:color w:val="242424"/>
          <w:sz w:val="28"/>
          <w:szCs w:val="28"/>
        </w:rPr>
        <w:t xml:space="preserve">PA 6720 </w:t>
      </w:r>
    </w:p>
    <w:p w:rsidR="00CF083F" w:rsidRDefault="00CF083F" w:rsidP="00E77D10">
      <w:pPr>
        <w:pStyle w:val="NormalWeb"/>
        <w:spacing w:before="0" w:beforeAutospacing="0" w:after="0" w:afterAutospacing="0"/>
        <w:rPr>
          <w:rFonts w:asciiTheme="minorHAnsi" w:hAnsiTheme="minorHAnsi" w:cstheme="minorHAnsi"/>
          <w:color w:val="242424"/>
          <w:sz w:val="28"/>
          <w:szCs w:val="28"/>
        </w:rPr>
      </w:pPr>
    </w:p>
    <w:p w:rsidR="00AC6904" w:rsidRPr="00D77362" w:rsidRDefault="00AC6904" w:rsidP="00E77D10">
      <w:pPr>
        <w:pStyle w:val="NormalWeb"/>
        <w:spacing w:before="0" w:beforeAutospacing="0" w:after="0" w:afterAutospacing="0"/>
        <w:rPr>
          <w:rFonts w:asciiTheme="minorHAnsi" w:hAnsiTheme="minorHAnsi" w:cstheme="minorHAnsi"/>
          <w:b/>
          <w:bCs/>
          <w:color w:val="242424"/>
          <w:sz w:val="28"/>
          <w:szCs w:val="28"/>
        </w:rPr>
      </w:pPr>
      <w:r w:rsidRPr="00D77362">
        <w:rPr>
          <w:rFonts w:asciiTheme="minorHAnsi" w:hAnsiTheme="minorHAnsi" w:cstheme="minorHAnsi"/>
          <w:color w:val="242424"/>
          <w:sz w:val="28"/>
          <w:szCs w:val="28"/>
        </w:rPr>
        <w:t>D</w:t>
      </w:r>
      <w:r w:rsidRPr="00D77362">
        <w:rPr>
          <w:rFonts w:asciiTheme="minorHAnsi" w:hAnsiTheme="minorHAnsi" w:cstheme="minorHAnsi"/>
          <w:color w:val="242424"/>
          <w:sz w:val="28"/>
          <w:szCs w:val="28"/>
        </w:rPr>
        <w:t>octrines</w:t>
      </w:r>
      <w:r w:rsidRPr="00D77362">
        <w:rPr>
          <w:rFonts w:asciiTheme="minorHAnsi" w:hAnsiTheme="minorHAnsi" w:cstheme="minorHAnsi"/>
          <w:color w:val="242424"/>
          <w:sz w:val="28"/>
          <w:szCs w:val="28"/>
        </w:rPr>
        <w:t xml:space="preserve"> determined by the Supreme Court with regard</w:t>
      </w:r>
      <w:r w:rsidRPr="00D77362">
        <w:rPr>
          <w:rFonts w:asciiTheme="minorHAnsi" w:hAnsiTheme="minorHAnsi" w:cstheme="minorHAnsi"/>
          <w:color w:val="242424"/>
          <w:sz w:val="28"/>
          <w:szCs w:val="28"/>
        </w:rPr>
        <w:t xml:space="preserve"> of due process, judicial deference, and justiciability </w:t>
      </w:r>
    </w:p>
    <w:p w:rsidR="00AC6904" w:rsidRPr="00D77362" w:rsidRDefault="00AC6904" w:rsidP="00E77D10">
      <w:pPr>
        <w:pStyle w:val="NormalWeb"/>
        <w:spacing w:before="0" w:beforeAutospacing="0" w:after="0" w:afterAutospacing="0"/>
        <w:rPr>
          <w:rFonts w:asciiTheme="minorHAnsi" w:hAnsiTheme="minorHAnsi" w:cstheme="minorHAnsi"/>
          <w:b/>
          <w:bCs/>
          <w:color w:val="242424"/>
          <w:sz w:val="28"/>
          <w:szCs w:val="28"/>
        </w:rPr>
      </w:pPr>
    </w:p>
    <w:p w:rsidR="00CF083F" w:rsidRDefault="00CF083F" w:rsidP="00E77D10">
      <w:pPr>
        <w:pStyle w:val="NormalWeb"/>
        <w:spacing w:before="0" w:beforeAutospacing="0" w:after="0" w:afterAutospacing="0"/>
        <w:rPr>
          <w:rFonts w:asciiTheme="minorHAnsi" w:hAnsiTheme="minorHAnsi" w:cstheme="minorHAnsi"/>
          <w:b/>
          <w:bCs/>
          <w:color w:val="242424"/>
          <w:sz w:val="28"/>
          <w:szCs w:val="28"/>
        </w:rPr>
      </w:pPr>
    </w:p>
    <w:p w:rsidR="00E77D10" w:rsidRPr="00D77362" w:rsidRDefault="00AC6904" w:rsidP="00E77D10">
      <w:pPr>
        <w:pStyle w:val="NormalWeb"/>
        <w:spacing w:before="0" w:beforeAutospacing="0" w:after="0" w:afterAutospacing="0"/>
        <w:rPr>
          <w:rFonts w:asciiTheme="minorHAnsi" w:hAnsiTheme="minorHAnsi" w:cstheme="minorHAnsi"/>
          <w:b/>
          <w:bCs/>
          <w:color w:val="242424"/>
          <w:sz w:val="28"/>
          <w:szCs w:val="28"/>
        </w:rPr>
      </w:pPr>
      <w:r w:rsidRPr="00D77362">
        <w:rPr>
          <w:rFonts w:asciiTheme="minorHAnsi" w:hAnsiTheme="minorHAnsi" w:cstheme="minorHAnsi"/>
          <w:b/>
          <w:bCs/>
          <w:color w:val="242424"/>
          <w:sz w:val="28"/>
          <w:szCs w:val="28"/>
        </w:rPr>
        <w:t xml:space="preserve">PA </w:t>
      </w:r>
      <w:r w:rsidR="00E77D10" w:rsidRPr="00D77362">
        <w:rPr>
          <w:rFonts w:asciiTheme="minorHAnsi" w:hAnsiTheme="minorHAnsi" w:cstheme="minorHAnsi"/>
          <w:b/>
          <w:bCs/>
          <w:color w:val="242424"/>
          <w:sz w:val="28"/>
          <w:szCs w:val="28"/>
        </w:rPr>
        <w:t>6800</w:t>
      </w:r>
    </w:p>
    <w:p w:rsidR="00CF083F" w:rsidRDefault="00CF083F" w:rsidP="00AC6904">
      <w:pPr>
        <w:rPr>
          <w:rFonts w:cstheme="minorHAnsi"/>
          <w:sz w:val="28"/>
          <w:szCs w:val="28"/>
        </w:rPr>
      </w:pPr>
    </w:p>
    <w:p w:rsidR="00E77D10" w:rsidRPr="00D77362" w:rsidRDefault="00857622" w:rsidP="00AC6904">
      <w:pPr>
        <w:rPr>
          <w:rFonts w:cstheme="minorHAnsi"/>
          <w:sz w:val="28"/>
          <w:szCs w:val="28"/>
        </w:rPr>
      </w:pPr>
      <w:r w:rsidRPr="00D77362">
        <w:rPr>
          <w:rFonts w:cstheme="minorHAnsi"/>
          <w:sz w:val="28"/>
          <w:szCs w:val="28"/>
        </w:rPr>
        <w:t xml:space="preserve">Internal and external stakeholder engagement and management in the policy process. </w:t>
      </w:r>
    </w:p>
    <w:p w:rsidR="00E77D10" w:rsidRPr="00D77362" w:rsidRDefault="00E77D10" w:rsidP="00E77D10">
      <w:pPr>
        <w:pStyle w:val="NormalWeb"/>
        <w:spacing w:before="0" w:beforeAutospacing="0" w:after="0" w:afterAutospacing="0"/>
        <w:rPr>
          <w:rFonts w:asciiTheme="minorHAnsi" w:hAnsiTheme="minorHAnsi" w:cstheme="minorHAnsi"/>
          <w:color w:val="242424"/>
          <w:sz w:val="28"/>
          <w:szCs w:val="28"/>
        </w:rPr>
      </w:pPr>
    </w:p>
    <w:p w:rsidR="00E77D10" w:rsidRDefault="00E77D10">
      <w:pPr>
        <w:rPr>
          <w:rFonts w:cstheme="minorHAnsi"/>
          <w:sz w:val="28"/>
          <w:szCs w:val="28"/>
        </w:rPr>
      </w:pPr>
    </w:p>
    <w:p w:rsidR="00D77362" w:rsidRPr="00D77362" w:rsidRDefault="00D77362" w:rsidP="00D77362">
      <w:pPr>
        <w:jc w:val="center"/>
        <w:rPr>
          <w:rFonts w:cstheme="minorHAnsi"/>
          <w:b/>
          <w:bCs/>
          <w:sz w:val="28"/>
          <w:szCs w:val="28"/>
        </w:rPr>
      </w:pPr>
      <w:r w:rsidRPr="00D77362">
        <w:rPr>
          <w:rFonts w:cstheme="minorHAnsi"/>
          <w:b/>
          <w:bCs/>
          <w:sz w:val="28"/>
          <w:szCs w:val="28"/>
        </w:rPr>
        <w:t>Comprehensive Themes (Randomly assigned</w:t>
      </w:r>
      <w:r>
        <w:rPr>
          <w:rFonts w:cstheme="minorHAnsi"/>
          <w:b/>
          <w:bCs/>
          <w:sz w:val="28"/>
          <w:szCs w:val="28"/>
        </w:rPr>
        <w:t>, issue/scenario-based</w:t>
      </w:r>
      <w:r w:rsidRPr="00D77362">
        <w:rPr>
          <w:rFonts w:cstheme="minorHAnsi"/>
          <w:b/>
          <w:bCs/>
          <w:sz w:val="28"/>
          <w:szCs w:val="28"/>
        </w:rPr>
        <w:t>)</w:t>
      </w:r>
    </w:p>
    <w:p w:rsidR="00D77362" w:rsidRPr="00D77362" w:rsidRDefault="00D77362">
      <w:pPr>
        <w:rPr>
          <w:rFonts w:cstheme="minorHAnsi"/>
          <w:sz w:val="28"/>
          <w:szCs w:val="28"/>
        </w:rPr>
      </w:pPr>
    </w:p>
    <w:p w:rsidR="00D77362" w:rsidRPr="00D77362" w:rsidRDefault="00D77362" w:rsidP="00D77362">
      <w:pPr>
        <w:pStyle w:val="ListParagraph"/>
        <w:widowControl/>
        <w:numPr>
          <w:ilvl w:val="0"/>
          <w:numId w:val="3"/>
        </w:numPr>
        <w:jc w:val="both"/>
        <w:rPr>
          <w:rFonts w:asciiTheme="minorHAnsi" w:eastAsia="Times New Roman" w:hAnsiTheme="minorHAnsi" w:cstheme="minorHAnsi"/>
          <w:color w:val="000000"/>
          <w:sz w:val="28"/>
          <w:szCs w:val="28"/>
        </w:rPr>
      </w:pPr>
      <w:r w:rsidRPr="00D77362">
        <w:rPr>
          <w:rFonts w:asciiTheme="minorHAnsi" w:eastAsia="Times New Roman" w:hAnsiTheme="minorHAnsi" w:cstheme="minorHAnsi"/>
          <w:color w:val="000000"/>
          <w:sz w:val="28"/>
          <w:szCs w:val="28"/>
        </w:rPr>
        <w:t>Competency: to lead and manage in public governance.</w:t>
      </w:r>
    </w:p>
    <w:p w:rsidR="00D77362" w:rsidRPr="00D77362" w:rsidRDefault="00D77362" w:rsidP="00D77362">
      <w:pPr>
        <w:jc w:val="both"/>
        <w:rPr>
          <w:rFonts w:eastAsia="Times New Roman" w:cstheme="minorHAnsi"/>
          <w:color w:val="000000"/>
          <w:sz w:val="28"/>
          <w:szCs w:val="28"/>
        </w:rPr>
      </w:pPr>
    </w:p>
    <w:p w:rsidR="00D77362" w:rsidRPr="00D77362" w:rsidRDefault="00D77362" w:rsidP="00D77362">
      <w:pPr>
        <w:pStyle w:val="ListParagraph"/>
        <w:widowControl/>
        <w:numPr>
          <w:ilvl w:val="0"/>
          <w:numId w:val="3"/>
        </w:numPr>
        <w:jc w:val="both"/>
        <w:rPr>
          <w:rFonts w:asciiTheme="minorHAnsi" w:eastAsia="Times New Roman" w:hAnsiTheme="minorHAnsi" w:cstheme="minorHAnsi"/>
          <w:color w:val="000000"/>
          <w:sz w:val="28"/>
          <w:szCs w:val="28"/>
        </w:rPr>
      </w:pPr>
      <w:r w:rsidRPr="00D77362">
        <w:rPr>
          <w:rFonts w:asciiTheme="minorHAnsi" w:eastAsia="Times New Roman" w:hAnsiTheme="minorHAnsi" w:cstheme="minorHAnsi"/>
          <w:color w:val="000000"/>
          <w:sz w:val="28"/>
          <w:szCs w:val="28"/>
        </w:rPr>
        <w:t>Competency: to participate in and contribute to the public policy process.</w:t>
      </w:r>
    </w:p>
    <w:p w:rsidR="00D77362" w:rsidRPr="00D77362" w:rsidRDefault="00D77362" w:rsidP="00D77362">
      <w:pPr>
        <w:jc w:val="both"/>
        <w:rPr>
          <w:rFonts w:eastAsia="Times New Roman" w:cstheme="minorHAnsi"/>
          <w:color w:val="000000"/>
          <w:sz w:val="28"/>
          <w:szCs w:val="28"/>
        </w:rPr>
      </w:pPr>
    </w:p>
    <w:p w:rsidR="00D77362" w:rsidRPr="00D77362" w:rsidRDefault="00D77362" w:rsidP="00D77362">
      <w:pPr>
        <w:pStyle w:val="ListParagraph"/>
        <w:widowControl/>
        <w:numPr>
          <w:ilvl w:val="0"/>
          <w:numId w:val="3"/>
        </w:numPr>
        <w:jc w:val="both"/>
        <w:rPr>
          <w:rFonts w:asciiTheme="minorHAnsi" w:eastAsia="Times New Roman" w:hAnsiTheme="minorHAnsi" w:cstheme="minorHAnsi"/>
          <w:color w:val="000000"/>
          <w:sz w:val="28"/>
          <w:szCs w:val="28"/>
        </w:rPr>
      </w:pPr>
      <w:r w:rsidRPr="00D77362">
        <w:rPr>
          <w:rFonts w:asciiTheme="minorHAnsi" w:eastAsia="Times New Roman" w:hAnsiTheme="minorHAnsi" w:cstheme="minorHAnsi"/>
          <w:color w:val="000000"/>
          <w:sz w:val="28"/>
          <w:szCs w:val="28"/>
        </w:rPr>
        <w:t>Competency: to analyze, synthesize, think critically, solve problems and make decisions.</w:t>
      </w:r>
    </w:p>
    <w:p w:rsidR="00D77362" w:rsidRPr="00D77362" w:rsidRDefault="00D77362" w:rsidP="00D77362">
      <w:pPr>
        <w:jc w:val="both"/>
        <w:rPr>
          <w:rFonts w:eastAsia="Times New Roman" w:cstheme="minorHAnsi"/>
          <w:color w:val="000000"/>
          <w:sz w:val="28"/>
          <w:szCs w:val="28"/>
        </w:rPr>
      </w:pPr>
    </w:p>
    <w:p w:rsidR="00D77362" w:rsidRPr="00D77362" w:rsidRDefault="00D77362" w:rsidP="00D77362">
      <w:pPr>
        <w:pStyle w:val="ListParagraph"/>
        <w:widowControl/>
        <w:numPr>
          <w:ilvl w:val="0"/>
          <w:numId w:val="3"/>
        </w:numPr>
        <w:jc w:val="both"/>
        <w:rPr>
          <w:rFonts w:asciiTheme="minorHAnsi" w:eastAsia="Times New Roman" w:hAnsiTheme="minorHAnsi" w:cstheme="minorHAnsi"/>
          <w:color w:val="000000"/>
          <w:sz w:val="28"/>
          <w:szCs w:val="28"/>
        </w:rPr>
      </w:pPr>
      <w:r w:rsidRPr="00D77362">
        <w:rPr>
          <w:rFonts w:asciiTheme="minorHAnsi" w:eastAsia="Times New Roman" w:hAnsiTheme="minorHAnsi" w:cstheme="minorHAnsi"/>
          <w:color w:val="000000"/>
          <w:sz w:val="28"/>
          <w:szCs w:val="28"/>
        </w:rPr>
        <w:t>Competency: to articulate and apply a public service perspective.</w:t>
      </w:r>
    </w:p>
    <w:p w:rsidR="00D77362" w:rsidRPr="00D77362" w:rsidRDefault="00D77362" w:rsidP="00D77362">
      <w:pPr>
        <w:pStyle w:val="ListParagraph"/>
        <w:rPr>
          <w:rFonts w:eastAsia="Times New Roman" w:cstheme="minorHAnsi"/>
          <w:color w:val="000000"/>
          <w:sz w:val="28"/>
          <w:szCs w:val="28"/>
        </w:rPr>
      </w:pPr>
    </w:p>
    <w:p w:rsidR="00D77362" w:rsidRPr="00D77362" w:rsidRDefault="00D77362" w:rsidP="00D77362">
      <w:pPr>
        <w:pStyle w:val="ListParagraph"/>
        <w:widowControl/>
        <w:numPr>
          <w:ilvl w:val="0"/>
          <w:numId w:val="3"/>
        </w:numPr>
        <w:jc w:val="both"/>
        <w:rPr>
          <w:rFonts w:asciiTheme="minorHAnsi" w:eastAsia="Times New Roman" w:hAnsiTheme="minorHAnsi" w:cstheme="minorHAnsi"/>
          <w:color w:val="000000"/>
          <w:sz w:val="28"/>
          <w:szCs w:val="28"/>
        </w:rPr>
      </w:pPr>
      <w:r w:rsidRPr="00D77362">
        <w:rPr>
          <w:rFonts w:eastAsia="Times New Roman" w:cstheme="minorHAnsi"/>
          <w:color w:val="000000"/>
          <w:sz w:val="28"/>
          <w:szCs w:val="28"/>
        </w:rPr>
        <w:lastRenderedPageBreak/>
        <w:t>Competency: to communicate and interact productively with a diverse and changing workforce and citizenry. </w:t>
      </w:r>
    </w:p>
    <w:p w:rsidR="00D77362" w:rsidRPr="00D77362" w:rsidRDefault="00D77362" w:rsidP="00D77362">
      <w:pPr>
        <w:jc w:val="both"/>
        <w:rPr>
          <w:rFonts w:eastAsia="Times New Roman" w:cstheme="minorHAnsi"/>
          <w:color w:val="000000"/>
          <w:sz w:val="28"/>
          <w:szCs w:val="28"/>
        </w:rPr>
      </w:pPr>
    </w:p>
    <w:p w:rsidR="0013788F" w:rsidRPr="00D77362" w:rsidRDefault="0013788F">
      <w:pPr>
        <w:rPr>
          <w:rFonts w:cstheme="minorHAnsi"/>
          <w:sz w:val="28"/>
          <w:szCs w:val="28"/>
        </w:rPr>
      </w:pPr>
    </w:p>
    <w:sectPr w:rsidR="0013788F" w:rsidRPr="00D773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640BC"/>
    <w:multiLevelType w:val="multilevel"/>
    <w:tmpl w:val="3F807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8007FE"/>
    <w:multiLevelType w:val="multilevel"/>
    <w:tmpl w:val="9D925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91682B"/>
    <w:multiLevelType w:val="hybridMultilevel"/>
    <w:tmpl w:val="347CD124"/>
    <w:lvl w:ilvl="0" w:tplc="B956B5FC">
      <w:start w:val="1"/>
      <w:numFmt w:val="upperRoman"/>
      <w:lvlText w:val="%1."/>
      <w:lvlJc w:val="left"/>
      <w:pPr>
        <w:ind w:left="1080" w:hanging="72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2765182">
    <w:abstractNumId w:val="0"/>
  </w:num>
  <w:num w:numId="2" w16cid:durableId="317466787">
    <w:abstractNumId w:val="1"/>
  </w:num>
  <w:num w:numId="3" w16cid:durableId="1139615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D10"/>
    <w:rsid w:val="00010B03"/>
    <w:rsid w:val="0013788F"/>
    <w:rsid w:val="00161334"/>
    <w:rsid w:val="00441929"/>
    <w:rsid w:val="004A05CE"/>
    <w:rsid w:val="0064167E"/>
    <w:rsid w:val="007D5A15"/>
    <w:rsid w:val="00857622"/>
    <w:rsid w:val="00984148"/>
    <w:rsid w:val="00AC6904"/>
    <w:rsid w:val="00CF083F"/>
    <w:rsid w:val="00D77362"/>
    <w:rsid w:val="00E77D10"/>
    <w:rsid w:val="00EB27ED"/>
    <w:rsid w:val="00FE2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13886B"/>
  <w15:chartTrackingRefBased/>
  <w15:docId w15:val="{EE62D77F-2C6A-6441-BA1B-0B8461CE1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D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7D10"/>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E77D10"/>
  </w:style>
  <w:style w:type="character" w:styleId="Emphasis">
    <w:name w:val="Emphasis"/>
    <w:basedOn w:val="DefaultParagraphFont"/>
    <w:uiPriority w:val="20"/>
    <w:qFormat/>
    <w:rsid w:val="00AC6904"/>
    <w:rPr>
      <w:i/>
      <w:iCs/>
    </w:rPr>
  </w:style>
  <w:style w:type="character" w:styleId="Hyperlink">
    <w:name w:val="Hyperlink"/>
    <w:basedOn w:val="DefaultParagraphFont"/>
    <w:uiPriority w:val="99"/>
    <w:semiHidden/>
    <w:unhideWhenUsed/>
    <w:rsid w:val="00AC6904"/>
    <w:rPr>
      <w:color w:val="0000FF"/>
      <w:u w:val="single"/>
    </w:rPr>
  </w:style>
  <w:style w:type="paragraph" w:styleId="ListParagraph">
    <w:name w:val="List Paragraph"/>
    <w:basedOn w:val="Normal"/>
    <w:uiPriority w:val="34"/>
    <w:qFormat/>
    <w:rsid w:val="00D77362"/>
    <w:pPr>
      <w:widowControl w:val="0"/>
      <w:ind w:left="720"/>
      <w:contextualSpacing/>
    </w:pPr>
    <w:rPr>
      <w:rFonts w:ascii="Calibri" w:eastAsia="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013689">
      <w:bodyDiv w:val="1"/>
      <w:marLeft w:val="0"/>
      <w:marRight w:val="0"/>
      <w:marTop w:val="0"/>
      <w:marBottom w:val="0"/>
      <w:divBdr>
        <w:top w:val="none" w:sz="0" w:space="0" w:color="auto"/>
        <w:left w:val="none" w:sz="0" w:space="0" w:color="auto"/>
        <w:bottom w:val="none" w:sz="0" w:space="0" w:color="auto"/>
        <w:right w:val="none" w:sz="0" w:space="0" w:color="auto"/>
      </w:divBdr>
    </w:div>
    <w:div w:id="193196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susb.edu/mpa/master-public-administration-mpa/concentrations/concentration-leadership" TargetMode="External"/><Relationship Id="rId5" Type="http://schemas.openxmlformats.org/officeDocument/2006/relationships/hyperlink" Target="https://www.csusb.edu/mpa/master-public-administration-mpa/concentrations/concentration-public-financial-manage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2023-06-02T22:58:00Z</dcterms:created>
  <dcterms:modified xsi:type="dcterms:W3CDTF">2023-06-02T23:25:00Z</dcterms:modified>
</cp:coreProperties>
</file>