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4E5628" w14:textId="77777777" w:rsidR="008D548D" w:rsidRDefault="00C966F1">
      <w:pPr>
        <w:pStyle w:val="Title"/>
        <w:jc w:val="center"/>
        <w:rPr>
          <w:sz w:val="44"/>
          <w:szCs w:val="44"/>
        </w:rPr>
      </w:pPr>
      <w:bookmarkStart w:id="0" w:name="_GoBack"/>
      <w:bookmarkEnd w:id="0"/>
      <w:r>
        <w:rPr>
          <w:sz w:val="44"/>
          <w:szCs w:val="44"/>
        </w:rPr>
        <w:t>PeopleSoft HR &amp; SA Code Freeze</w:t>
      </w:r>
    </w:p>
    <w:p w14:paraId="154C21FD" w14:textId="77777777" w:rsidR="008D548D" w:rsidRDefault="00A24521">
      <w:pPr>
        <w:jc w:val="center"/>
        <w:rPr>
          <w:rFonts w:ascii="Calibri" w:eastAsia="Calibri" w:hAnsi="Calibri" w:cs="Calibri"/>
          <w:b/>
          <w:sz w:val="28"/>
          <w:szCs w:val="28"/>
        </w:rPr>
      </w:pPr>
      <w:r>
        <w:rPr>
          <w:rFonts w:ascii="Calibri" w:eastAsia="Calibri" w:hAnsi="Calibri" w:cs="Calibri"/>
          <w:b/>
          <w:sz w:val="28"/>
          <w:szCs w:val="28"/>
        </w:rPr>
        <w:t>MAP for Review and Recommendation</w:t>
      </w:r>
    </w:p>
    <w:p w14:paraId="24C09824" w14:textId="77777777" w:rsidR="008D548D" w:rsidRDefault="008D548D">
      <w:pPr>
        <w:rPr>
          <w:rFonts w:ascii="Calibri" w:eastAsia="Calibri" w:hAnsi="Calibri" w:cs="Calibri"/>
          <w:b/>
        </w:rPr>
      </w:pPr>
    </w:p>
    <w:p w14:paraId="0B995D85" w14:textId="77777777" w:rsidR="008D548D" w:rsidRDefault="00A24521">
      <w:pPr>
        <w:pStyle w:val="Heading1"/>
      </w:pPr>
      <w:r>
        <w:t>Introduction</w:t>
      </w:r>
    </w:p>
    <w:p w14:paraId="04B4BFA4" w14:textId="0FAE5D59" w:rsidR="00CE4EAE" w:rsidRDefault="00577259" w:rsidP="00CE4EAE">
      <w:pPr>
        <w:rPr>
          <w:rFonts w:ascii="Times New Roman" w:eastAsia="Times New Roman" w:hAnsi="Times New Roman"/>
        </w:rPr>
      </w:pPr>
      <w:r>
        <w:t xml:space="preserve">The PeopleSoft system at CSUSB is scheduled to go through an upgrade this year. The upgrade process will separate the student and HR modules of the system in preparation for the Common Human Resources System (CHRS) </w:t>
      </w:r>
      <w:r w:rsidRPr="00CE4EAE">
        <w:t xml:space="preserve">implementation that is scheduled to start in 2020. The upgrade will move our Campus to CS 9.2, which will </w:t>
      </w:r>
      <w:r w:rsidR="00CE4EAE" w:rsidRPr="00CE4EAE">
        <w:rPr>
          <w:rFonts w:ascii="Times New Roman" w:eastAsia="Times New Roman" w:hAnsi="Times New Roman"/>
        </w:rPr>
        <w:t>bring our People</w:t>
      </w:r>
      <w:r w:rsidR="000F1E8A">
        <w:rPr>
          <w:rFonts w:ascii="Times New Roman" w:eastAsia="Times New Roman" w:hAnsi="Times New Roman"/>
        </w:rPr>
        <w:t>S</w:t>
      </w:r>
      <w:r w:rsidR="00CE4EAE" w:rsidRPr="00CE4EAE">
        <w:rPr>
          <w:rFonts w:ascii="Times New Roman" w:eastAsia="Times New Roman" w:hAnsi="Times New Roman"/>
        </w:rPr>
        <w:t>oft S.A. instance to the most current People</w:t>
      </w:r>
      <w:r w:rsidR="00CE4EAE">
        <w:rPr>
          <w:rFonts w:ascii="Times New Roman" w:eastAsia="Times New Roman" w:hAnsi="Times New Roman"/>
        </w:rPr>
        <w:t>T</w:t>
      </w:r>
      <w:r w:rsidR="00CE4EAE" w:rsidRPr="00CE4EAE">
        <w:rPr>
          <w:rFonts w:ascii="Times New Roman" w:eastAsia="Times New Roman" w:hAnsi="Times New Roman"/>
        </w:rPr>
        <w:t>ools which in</w:t>
      </w:r>
      <w:r w:rsidR="00CE4EAE">
        <w:rPr>
          <w:rFonts w:ascii="Times New Roman" w:eastAsia="Times New Roman" w:hAnsi="Times New Roman"/>
        </w:rPr>
        <w:t>t</w:t>
      </w:r>
      <w:r w:rsidR="00CE4EAE" w:rsidRPr="00CE4EAE">
        <w:rPr>
          <w:rFonts w:ascii="Times New Roman" w:eastAsia="Times New Roman" w:hAnsi="Times New Roman"/>
        </w:rPr>
        <w:t>roduces fluid technology.  Fluid will make it easier to create applications the will render to the different devices such as mobile phones.</w:t>
      </w:r>
    </w:p>
    <w:p w14:paraId="15A572E3" w14:textId="77777777" w:rsidR="008D548D" w:rsidRDefault="00C966F1" w:rsidP="00C966F1">
      <w:r>
        <w:t xml:space="preserve">CSU </w:t>
      </w:r>
      <w:r w:rsidR="00932F66">
        <w:t xml:space="preserve">CMS Central recommends </w:t>
      </w:r>
      <w:r>
        <w:t>a code freeze to PeopleSoft HR and SA during the CS 9.2 Upgrade &amp; HR Split timeframe. This will be from June 1, 2017 to December 31, 2017.</w:t>
      </w:r>
    </w:p>
    <w:p w14:paraId="07353174" w14:textId="77777777" w:rsidR="00577259" w:rsidRDefault="00577259" w:rsidP="00C966F1"/>
    <w:p w14:paraId="1EB6F174" w14:textId="2B02562B" w:rsidR="00577259" w:rsidRPr="00C966F1" w:rsidRDefault="00FB1BB8" w:rsidP="00C966F1">
      <w:r>
        <w:t>During the code freeze, there will be no new development in the PeopleSoft Student and Human Resources System.  You can create queries to extract data but we will not create any new SB Bolt-on processes.  We will do critical fixes and maintain updated regulations as they arise.</w:t>
      </w:r>
    </w:p>
    <w:p w14:paraId="6B59BF76" w14:textId="77777777" w:rsidR="008D548D" w:rsidRDefault="00A24521">
      <w:pPr>
        <w:pStyle w:val="Heading1"/>
      </w:pPr>
      <w:r>
        <w:t>Details</w:t>
      </w:r>
    </w:p>
    <w:p w14:paraId="6D130747" w14:textId="77777777" w:rsidR="008D548D" w:rsidRDefault="00C966F1">
      <w:pPr>
        <w:jc w:val="both"/>
        <w:rPr>
          <w:rFonts w:ascii="Calibri" w:eastAsia="Calibri" w:hAnsi="Calibri" w:cs="Calibri"/>
        </w:rPr>
      </w:pPr>
      <w:bookmarkStart w:id="1" w:name="_gjdgxs" w:colFirst="0" w:colLast="0"/>
      <w:bookmarkEnd w:id="1"/>
      <w:r>
        <w:rPr>
          <w:rFonts w:ascii="Calibri" w:eastAsia="Calibri" w:hAnsi="Calibri" w:cs="Calibri"/>
        </w:rPr>
        <w:t>From a memo from CSU CMS Central: CS 9.0 Development Restriction Strategy dated 5/28/2016.</w:t>
      </w:r>
    </w:p>
    <w:p w14:paraId="0E0B20EA" w14:textId="77777777" w:rsidR="00C966F1" w:rsidRDefault="00C966F1" w:rsidP="00C966F1">
      <w:pPr>
        <w:autoSpaceDE w:val="0"/>
        <w:autoSpaceDN w:val="0"/>
        <w:adjustRightInd w:val="0"/>
        <w:ind w:left="720"/>
        <w:rPr>
          <w:rFonts w:asciiTheme="minorHAnsi" w:hAnsiTheme="minorHAnsi" w:cs="Arial"/>
          <w:i/>
        </w:rPr>
      </w:pPr>
      <w:r w:rsidRPr="00C966F1">
        <w:rPr>
          <w:rFonts w:asciiTheme="minorHAnsi" w:hAnsiTheme="minorHAnsi" w:cs="Arial"/>
          <w:i/>
        </w:rPr>
        <w:t>As CMS Central kicks off the CS 9.2 Upgrade, it is important that development restrictions on modifications be established.  Because CMS will be performing the CS 9.2 Upgrade with competing priorities such as the split and HR consolidation, it is crucial that CMS balances resource commitments on each of these initiatives.</w:t>
      </w:r>
    </w:p>
    <w:p w14:paraId="5BFA56B2" w14:textId="77777777" w:rsidR="00932F66" w:rsidRDefault="00932F66" w:rsidP="00C966F1">
      <w:pPr>
        <w:autoSpaceDE w:val="0"/>
        <w:autoSpaceDN w:val="0"/>
        <w:adjustRightInd w:val="0"/>
        <w:ind w:left="720"/>
        <w:rPr>
          <w:rFonts w:asciiTheme="minorHAnsi" w:hAnsiTheme="minorHAnsi" w:cs="Arial"/>
          <w:i/>
        </w:rPr>
      </w:pPr>
      <w:r>
        <w:rPr>
          <w:rFonts w:asciiTheme="minorHAnsi" w:hAnsiTheme="minorHAnsi" w:cs="Arial"/>
          <w:i/>
        </w:rPr>
        <w:t>…</w:t>
      </w:r>
    </w:p>
    <w:p w14:paraId="2DDCD284" w14:textId="77777777" w:rsidR="00932F66" w:rsidRPr="00932F66" w:rsidRDefault="00932F66" w:rsidP="00932F66">
      <w:pPr>
        <w:autoSpaceDE w:val="0"/>
        <w:autoSpaceDN w:val="0"/>
        <w:adjustRightInd w:val="0"/>
        <w:ind w:left="720"/>
        <w:rPr>
          <w:rFonts w:asciiTheme="minorHAnsi" w:hAnsiTheme="minorHAnsi" w:cs="Arial"/>
          <w:b/>
          <w:i/>
        </w:rPr>
      </w:pPr>
      <w:r w:rsidRPr="00932F66">
        <w:rPr>
          <w:rFonts w:asciiTheme="minorHAnsi" w:hAnsiTheme="minorHAnsi" w:cs="Arial"/>
          <w:i/>
        </w:rPr>
        <w:t xml:space="preserve">The strategy and approach for development restrictions during the CS 9.2 upgrade is limited to CMS Central.  Campuses may continue campus development for 9.0 with the understanding that any retrofits, support and potential issues are the responsibilities of the campus.  </w:t>
      </w:r>
      <w:r w:rsidRPr="00932F66">
        <w:rPr>
          <w:rFonts w:asciiTheme="minorHAnsi" w:hAnsiTheme="minorHAnsi" w:cs="Arial"/>
          <w:b/>
          <w:i/>
        </w:rPr>
        <w:t>CMS recommends campuses adopt similar development restrictions to minimize issues and resource allocation caused by the introduction of a new code line during development of a previous version.  However, campus development is at the discretion of the campus.</w:t>
      </w:r>
    </w:p>
    <w:p w14:paraId="0B84E25B" w14:textId="77777777" w:rsidR="00932F66" w:rsidRPr="00C966F1" w:rsidRDefault="00932F66" w:rsidP="00C966F1">
      <w:pPr>
        <w:autoSpaceDE w:val="0"/>
        <w:autoSpaceDN w:val="0"/>
        <w:adjustRightInd w:val="0"/>
        <w:ind w:left="720"/>
        <w:rPr>
          <w:rFonts w:asciiTheme="minorHAnsi" w:hAnsiTheme="minorHAnsi" w:cs="Arial"/>
          <w:i/>
        </w:rPr>
      </w:pPr>
    </w:p>
    <w:p w14:paraId="03EC6CB8" w14:textId="77777777" w:rsidR="00C966F1" w:rsidRDefault="00E54752">
      <w:pPr>
        <w:jc w:val="both"/>
        <w:rPr>
          <w:rFonts w:ascii="Calibri" w:eastAsia="Calibri" w:hAnsi="Calibri" w:cs="Calibri"/>
        </w:rPr>
      </w:pPr>
      <w:r>
        <w:rPr>
          <w:rFonts w:ascii="Calibri" w:eastAsia="Calibri" w:hAnsi="Calibri" w:cs="Calibri"/>
        </w:rPr>
        <w:t>Fixes to the current system and SB Modifications will be reviewed and modified during this time to maintain that the production PeopleSoft SA and HR system are functioning correctly.</w:t>
      </w:r>
    </w:p>
    <w:p w14:paraId="2013700A" w14:textId="77777777" w:rsidR="00C966F1" w:rsidRDefault="00C966F1">
      <w:pPr>
        <w:jc w:val="both"/>
        <w:rPr>
          <w:rFonts w:ascii="Calibri" w:eastAsia="Calibri" w:hAnsi="Calibri" w:cs="Calibri"/>
        </w:rPr>
      </w:pPr>
    </w:p>
    <w:p w14:paraId="24BDF505" w14:textId="77777777" w:rsidR="008D548D" w:rsidRDefault="00A24521">
      <w:pPr>
        <w:pStyle w:val="Heading1"/>
      </w:pPr>
      <w:r>
        <w:t>Challenges(s)</w:t>
      </w:r>
    </w:p>
    <w:p w14:paraId="266D7BF0" w14:textId="77777777" w:rsidR="008D548D" w:rsidRDefault="00C966F1">
      <w:pPr>
        <w:numPr>
          <w:ilvl w:val="0"/>
          <w:numId w:val="3"/>
        </w:numPr>
        <w:spacing w:line="276" w:lineRule="auto"/>
        <w:ind w:hanging="360"/>
        <w:contextualSpacing/>
      </w:pPr>
      <w:r>
        <w:t xml:space="preserve">During the upgrade project we will be working with two versions of PeopleTools making it difficult to work on new development.  It will be a challenge to test the changes in the two </w:t>
      </w:r>
      <w:r>
        <w:lastRenderedPageBreak/>
        <w:t>different environments while working toward a fast pause implementation.</w:t>
      </w:r>
    </w:p>
    <w:p w14:paraId="513865BA" w14:textId="77777777" w:rsidR="008D548D" w:rsidRDefault="00E54752">
      <w:pPr>
        <w:numPr>
          <w:ilvl w:val="0"/>
          <w:numId w:val="3"/>
        </w:numPr>
        <w:spacing w:line="276" w:lineRule="auto"/>
        <w:ind w:hanging="360"/>
        <w:contextualSpacing/>
      </w:pPr>
      <w:r>
        <w:t xml:space="preserve">Campus is responsible for reviewing all SB modifications. </w:t>
      </w:r>
    </w:p>
    <w:p w14:paraId="7BA36B9B" w14:textId="77777777" w:rsidR="008D548D" w:rsidRDefault="00A24521">
      <w:pPr>
        <w:pStyle w:val="Heading1"/>
      </w:pPr>
      <w:r>
        <w:t>Alternatives</w:t>
      </w:r>
    </w:p>
    <w:p w14:paraId="47640DBF" w14:textId="77777777" w:rsidR="008D548D" w:rsidRDefault="00E54752">
      <w:r>
        <w:t>Allow modifications to continue.</w:t>
      </w:r>
    </w:p>
    <w:p w14:paraId="64703CB7" w14:textId="77777777" w:rsidR="008D548D" w:rsidRDefault="00A24521">
      <w:pPr>
        <w:pStyle w:val="Heading1"/>
      </w:pPr>
      <w:r>
        <w:t>Impact(s) if we do noting</w:t>
      </w:r>
    </w:p>
    <w:p w14:paraId="40D61AA3" w14:textId="77777777" w:rsidR="008D548D" w:rsidRDefault="00E54752">
      <w:pPr>
        <w:jc w:val="both"/>
        <w:rPr>
          <w:rFonts w:ascii="Calibri" w:eastAsia="Calibri" w:hAnsi="Calibri" w:cs="Calibri"/>
        </w:rPr>
      </w:pPr>
      <w:r>
        <w:rPr>
          <w:rFonts w:ascii="Calibri" w:eastAsia="Calibri" w:hAnsi="Calibri" w:cs="Calibri"/>
        </w:rPr>
        <w:t xml:space="preserve">Resources to the PeopleSoft technical group and user groups will be greatly impacted which could cause a delay in the upgrade.  </w:t>
      </w:r>
    </w:p>
    <w:p w14:paraId="70C8B71A" w14:textId="77777777" w:rsidR="008D548D" w:rsidRDefault="00A24521">
      <w:pPr>
        <w:pStyle w:val="Heading1"/>
      </w:pPr>
      <w:r>
        <w:t>Recommendation</w:t>
      </w:r>
    </w:p>
    <w:p w14:paraId="5F25631E" w14:textId="60BD701D" w:rsidR="008D548D" w:rsidRDefault="00A24521">
      <w:r>
        <w:t xml:space="preserve">San Bernardino adopt the same recommendation as </w:t>
      </w:r>
      <w:r w:rsidR="00E54752">
        <w:t xml:space="preserve">CMS </w:t>
      </w:r>
      <w:r w:rsidR="00694BD6">
        <w:t>Central to</w:t>
      </w:r>
      <w:r>
        <w:t xml:space="preserve"> restrict </w:t>
      </w:r>
      <w:r w:rsidR="00E54752">
        <w:t>development during the CS 9.2 upgrade.  We recommend PeopleSoft SA and HR code freeze from June 1, 2017 to December 31, 2017.</w:t>
      </w:r>
      <w:r w:rsidR="00932F66">
        <w:t xml:space="preserve">  </w:t>
      </w:r>
    </w:p>
    <w:p w14:paraId="46D99F7C" w14:textId="77777777" w:rsidR="008D548D" w:rsidRDefault="00A24521">
      <w:pPr>
        <w:pStyle w:val="Heading1"/>
      </w:pPr>
      <w:r>
        <w:t>Assessment</w:t>
      </w:r>
    </w:p>
    <w:p w14:paraId="25C83C27" w14:textId="77777777" w:rsidR="008D548D" w:rsidRDefault="00D84D19">
      <w:pPr>
        <w:numPr>
          <w:ilvl w:val="0"/>
          <w:numId w:val="1"/>
        </w:numPr>
        <w:ind w:hanging="360"/>
        <w:contextualSpacing/>
      </w:pPr>
      <w:r>
        <w:t>Successful CS 9.2 Upgrade and HR Split</w:t>
      </w:r>
    </w:p>
    <w:p w14:paraId="0DB8716C" w14:textId="5E82E6A5" w:rsidR="008D548D" w:rsidRDefault="00D84D19">
      <w:pPr>
        <w:numPr>
          <w:ilvl w:val="0"/>
          <w:numId w:val="1"/>
        </w:numPr>
        <w:ind w:hanging="360"/>
        <w:contextualSpacing/>
      </w:pPr>
      <w:r>
        <w:t>Allow PeopleSoft Developers more time to review</w:t>
      </w:r>
      <w:r w:rsidR="00694BD6">
        <w:t>, retrofit and test</w:t>
      </w:r>
      <w:r>
        <w:t xml:space="preserve"> SB Mods</w:t>
      </w:r>
    </w:p>
    <w:p w14:paraId="77E3FA1F" w14:textId="77777777" w:rsidR="008D548D" w:rsidRDefault="00A24521">
      <w:pPr>
        <w:pStyle w:val="Heading2"/>
      </w:pPr>
      <w:r>
        <w:t>KPIs</w:t>
      </w:r>
    </w:p>
    <w:p w14:paraId="7FFF78CF" w14:textId="77777777" w:rsidR="008D548D" w:rsidRDefault="00A24521">
      <w:r>
        <w:t>Provide a minimum of two (2) key performance indicators (KPI) will best indicate project success:</w:t>
      </w:r>
    </w:p>
    <w:p w14:paraId="06CA9FA7" w14:textId="77777777" w:rsidR="008D548D" w:rsidRDefault="008D548D"/>
    <w:p w14:paraId="265B8649" w14:textId="77777777" w:rsidR="008D548D" w:rsidRDefault="00A24521">
      <w:pPr>
        <w:numPr>
          <w:ilvl w:val="0"/>
          <w:numId w:val="2"/>
        </w:numPr>
        <w:ind w:hanging="360"/>
        <w:contextualSpacing/>
      </w:pPr>
      <w:r>
        <w:t xml:space="preserve">KPI: </w:t>
      </w:r>
      <w:r w:rsidR="00D84D19">
        <w:t>System sustainability</w:t>
      </w:r>
    </w:p>
    <w:p w14:paraId="203B7656" w14:textId="77777777" w:rsidR="008D548D" w:rsidRDefault="008D548D" w:rsidP="00D84D19"/>
    <w:p w14:paraId="24379696" w14:textId="77777777" w:rsidR="008D548D" w:rsidRDefault="00A24521">
      <w:pPr>
        <w:pStyle w:val="Heading2"/>
      </w:pPr>
      <w:r>
        <w:t>Estimated Timeline</w:t>
      </w:r>
      <w:r>
        <w:br/>
      </w:r>
    </w:p>
    <w:p w14:paraId="0398CE10" w14:textId="77777777" w:rsidR="008D548D" w:rsidRDefault="00A24521">
      <w:pPr>
        <w:ind w:firstLine="720"/>
        <w:rPr>
          <w:u w:val="single"/>
        </w:rPr>
      </w:pPr>
      <w:r>
        <w:t xml:space="preserve">Project Start Date: </w:t>
      </w:r>
      <w:r w:rsidR="00E54752">
        <w:rPr>
          <w:u w:val="single"/>
        </w:rPr>
        <w:t>June 1, 2017</w:t>
      </w:r>
    </w:p>
    <w:p w14:paraId="1825FFED" w14:textId="77777777" w:rsidR="008D548D" w:rsidRDefault="00A24521">
      <w:pPr>
        <w:ind w:firstLine="720"/>
        <w:rPr>
          <w:u w:val="single"/>
        </w:rPr>
      </w:pPr>
      <w:r>
        <w:t xml:space="preserve">Project Completion Date: </w:t>
      </w:r>
      <w:r w:rsidR="00E54752">
        <w:rPr>
          <w:u w:val="single"/>
        </w:rPr>
        <w:t>December 31, 2017</w:t>
      </w:r>
    </w:p>
    <w:p w14:paraId="04D7DED9" w14:textId="77777777" w:rsidR="008D548D" w:rsidRDefault="00A24521">
      <w:pPr>
        <w:pStyle w:val="Heading2"/>
      </w:pPr>
      <w:r>
        <w:t>Departmental Resource Allocation</w:t>
      </w:r>
      <w:r>
        <w:br/>
      </w:r>
    </w:p>
    <w:tbl>
      <w:tblPr>
        <w:tblStyle w:val="a"/>
        <w:tblW w:w="1006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257"/>
        <w:gridCol w:w="1258"/>
        <w:gridCol w:w="1259"/>
        <w:gridCol w:w="1259"/>
        <w:gridCol w:w="1259"/>
        <w:gridCol w:w="1259"/>
        <w:gridCol w:w="1259"/>
        <w:gridCol w:w="1259"/>
      </w:tblGrid>
      <w:tr w:rsidR="008D548D" w14:paraId="7525FAB5" w14:textId="77777777">
        <w:tc>
          <w:tcPr>
            <w:tcW w:w="1258" w:type="dxa"/>
          </w:tcPr>
          <w:p w14:paraId="688CE3B3" w14:textId="77777777" w:rsidR="008D548D" w:rsidRDefault="00E54752">
            <w:pPr>
              <w:contextualSpacing w:val="0"/>
            </w:pPr>
            <w:r>
              <w:rPr>
                <w:rFonts w:ascii="MS Gothic" w:eastAsia="MS Gothic" w:hAnsi="MS Gothic" w:cs="MS Gothic"/>
              </w:rPr>
              <w:t>☒</w:t>
            </w:r>
            <w:r w:rsidR="00A24521">
              <w:t>ACBI</w:t>
            </w:r>
          </w:p>
        </w:tc>
        <w:tc>
          <w:tcPr>
            <w:tcW w:w="1258" w:type="dxa"/>
          </w:tcPr>
          <w:p w14:paraId="00084510" w14:textId="77777777" w:rsidR="008D548D" w:rsidRDefault="00E54752">
            <w:pPr>
              <w:contextualSpacing w:val="0"/>
            </w:pPr>
            <w:r>
              <w:rPr>
                <w:rFonts w:ascii="MS Gothic" w:eastAsia="MS Gothic" w:hAnsi="MS Gothic" w:cs="MS Gothic"/>
              </w:rPr>
              <w:t>☐</w:t>
            </w:r>
            <w:r w:rsidR="00A24521">
              <w:t>ATI</w:t>
            </w:r>
          </w:p>
        </w:tc>
        <w:tc>
          <w:tcPr>
            <w:tcW w:w="1259" w:type="dxa"/>
          </w:tcPr>
          <w:p w14:paraId="584E3407" w14:textId="77777777" w:rsidR="008D548D" w:rsidRDefault="00E54752">
            <w:pPr>
              <w:contextualSpacing w:val="0"/>
            </w:pPr>
            <w:r>
              <w:rPr>
                <w:rFonts w:ascii="MS Gothic" w:eastAsia="MS Gothic" w:hAnsi="MS Gothic" w:cs="MS Gothic"/>
              </w:rPr>
              <w:t>☐</w:t>
            </w:r>
            <w:r w:rsidR="00A24521">
              <w:t>DDTS</w:t>
            </w:r>
          </w:p>
        </w:tc>
        <w:tc>
          <w:tcPr>
            <w:tcW w:w="1259" w:type="dxa"/>
          </w:tcPr>
          <w:p w14:paraId="4B2ED9BE" w14:textId="77777777" w:rsidR="008D548D" w:rsidRDefault="00A24521">
            <w:pPr>
              <w:contextualSpacing w:val="0"/>
            </w:pPr>
            <w:r>
              <w:rPr>
                <w:rFonts w:ascii="MS Gothic" w:eastAsia="MS Gothic" w:hAnsi="MS Gothic" w:cs="MS Gothic"/>
              </w:rPr>
              <w:t>☐</w:t>
            </w:r>
            <w:r>
              <w:t>ECS</w:t>
            </w:r>
          </w:p>
        </w:tc>
        <w:tc>
          <w:tcPr>
            <w:tcW w:w="1259" w:type="dxa"/>
          </w:tcPr>
          <w:p w14:paraId="5F643666" w14:textId="77777777" w:rsidR="008D548D" w:rsidRDefault="00E54752">
            <w:pPr>
              <w:contextualSpacing w:val="0"/>
            </w:pPr>
            <w:r>
              <w:rPr>
                <w:rFonts w:ascii="MS Gothic" w:eastAsia="MS Gothic" w:hAnsi="MS Gothic" w:cs="MS Gothic"/>
              </w:rPr>
              <w:t>☒</w:t>
            </w:r>
            <w:r w:rsidR="00A24521">
              <w:t>ISET</w:t>
            </w:r>
            <w:r w:rsidR="00A24521">
              <w:tab/>
            </w:r>
          </w:p>
        </w:tc>
        <w:tc>
          <w:tcPr>
            <w:tcW w:w="1259" w:type="dxa"/>
          </w:tcPr>
          <w:p w14:paraId="2287C1DF" w14:textId="77777777" w:rsidR="008D548D" w:rsidRDefault="00A24521">
            <w:pPr>
              <w:contextualSpacing w:val="0"/>
            </w:pPr>
            <w:r>
              <w:rPr>
                <w:rFonts w:ascii="MS Gothic" w:eastAsia="MS Gothic" w:hAnsi="MS Gothic" w:cs="MS Gothic"/>
              </w:rPr>
              <w:t>☐</w:t>
            </w:r>
            <w:r>
              <w:t>TNS</w:t>
            </w:r>
          </w:p>
        </w:tc>
        <w:tc>
          <w:tcPr>
            <w:tcW w:w="1259" w:type="dxa"/>
          </w:tcPr>
          <w:p w14:paraId="4D25412E" w14:textId="77777777" w:rsidR="008D548D" w:rsidRDefault="00E54752">
            <w:pPr>
              <w:contextualSpacing w:val="0"/>
            </w:pPr>
            <w:r>
              <w:rPr>
                <w:rFonts w:ascii="MS Gothic" w:eastAsia="MS Gothic" w:hAnsi="MS Gothic" w:cs="MS Gothic"/>
              </w:rPr>
              <w:t>☐</w:t>
            </w:r>
            <w:r w:rsidR="00A24521">
              <w:t>PMO</w:t>
            </w:r>
          </w:p>
        </w:tc>
        <w:tc>
          <w:tcPr>
            <w:tcW w:w="1259" w:type="dxa"/>
          </w:tcPr>
          <w:p w14:paraId="29427241" w14:textId="77777777" w:rsidR="008D548D" w:rsidRDefault="00A24521">
            <w:pPr>
              <w:contextualSpacing w:val="0"/>
            </w:pPr>
            <w:r>
              <w:rPr>
                <w:rFonts w:ascii="MS Gothic" w:eastAsia="MS Gothic" w:hAnsi="MS Gothic" w:cs="MS Gothic"/>
              </w:rPr>
              <w:t>☐</w:t>
            </w:r>
            <w:r>
              <w:t>Web</w:t>
            </w:r>
          </w:p>
        </w:tc>
      </w:tr>
    </w:tbl>
    <w:p w14:paraId="4D0FDC74" w14:textId="77777777" w:rsidR="008D548D" w:rsidRDefault="00A24521">
      <w:pPr>
        <w:pStyle w:val="Heading1"/>
      </w:pPr>
      <w:r>
        <w:t>Approval</w:t>
      </w:r>
    </w:p>
    <w:p w14:paraId="74891ACA" w14:textId="77777777" w:rsidR="008D548D" w:rsidRDefault="00932F66">
      <w:r>
        <w:rPr>
          <w:rFonts w:ascii="MS Gothic" w:eastAsia="MS Gothic" w:hAnsi="MS Gothic" w:cs="MS Gothic"/>
        </w:rPr>
        <w:t>☒</w:t>
      </w:r>
      <w:r w:rsidR="00A24521">
        <w:t xml:space="preserve"> This project will require IT Governance review during the ____</w:t>
      </w:r>
      <w:r w:rsidR="00375968">
        <w:t>April</w:t>
      </w:r>
      <w:r w:rsidR="00A24521">
        <w:t>_____ monthly meeting.</w:t>
      </w:r>
    </w:p>
    <w:p w14:paraId="4AD5B09E" w14:textId="77777777" w:rsidR="008D548D" w:rsidRDefault="008D548D"/>
    <w:p w14:paraId="02E57358" w14:textId="77777777" w:rsidR="008D548D" w:rsidRDefault="008D548D"/>
    <w:p w14:paraId="3786B78F" w14:textId="77777777" w:rsidR="008D548D" w:rsidRDefault="00A24521">
      <w:r>
        <w:t>__</w:t>
      </w:r>
      <w:r w:rsidR="00375968">
        <w:t>Lenora Rodgers</w:t>
      </w:r>
      <w:r>
        <w:t>_____________________________</w:t>
      </w:r>
      <w:r w:rsidR="00375968">
        <w:t>4/19/2017</w:t>
      </w:r>
      <w:r>
        <w:t>______________</w:t>
      </w:r>
    </w:p>
    <w:p w14:paraId="463CB275" w14:textId="77777777" w:rsidR="008D548D" w:rsidRDefault="00A24521">
      <w:r>
        <w:t xml:space="preserve">Submitting MPP </w:t>
      </w:r>
      <w:r>
        <w:tab/>
      </w:r>
      <w:r>
        <w:tab/>
      </w:r>
      <w:r>
        <w:tab/>
      </w:r>
      <w:r>
        <w:tab/>
        <w:t>Submittal Date</w:t>
      </w:r>
    </w:p>
    <w:p w14:paraId="21970441" w14:textId="77777777" w:rsidR="008D548D" w:rsidRDefault="008D548D"/>
    <w:p w14:paraId="398AEB9C" w14:textId="77777777" w:rsidR="008D548D" w:rsidRDefault="008D548D"/>
    <w:p w14:paraId="217D89C7" w14:textId="77777777" w:rsidR="008D548D" w:rsidRDefault="00A24521">
      <w:r>
        <w:lastRenderedPageBreak/>
        <w:t>______________________________________________________________________</w:t>
      </w:r>
    </w:p>
    <w:p w14:paraId="681B636B" w14:textId="77777777" w:rsidR="008D548D" w:rsidRDefault="00A24521">
      <w:r>
        <w:t xml:space="preserve">Approving MPP </w:t>
      </w:r>
      <w:r>
        <w:tab/>
      </w:r>
      <w:r>
        <w:tab/>
      </w:r>
      <w:r>
        <w:tab/>
      </w:r>
      <w:r>
        <w:tab/>
        <w:t>Approval Date</w:t>
      </w:r>
    </w:p>
    <w:sectPr w:rsidR="008D548D">
      <w:headerReference w:type="default" r:id="rId7"/>
      <w:footerReference w:type="default" r:id="rId8"/>
      <w:pgSz w:w="12240" w:h="15840"/>
      <w:pgMar w:top="180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4E60" w14:textId="77777777" w:rsidR="0044408A" w:rsidRDefault="0044408A">
      <w:r>
        <w:separator/>
      </w:r>
    </w:p>
  </w:endnote>
  <w:endnote w:type="continuationSeparator" w:id="0">
    <w:p w14:paraId="2F7ACEEF" w14:textId="77777777" w:rsidR="0044408A" w:rsidRDefault="0044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2625" w14:textId="77777777" w:rsidR="008D548D" w:rsidRDefault="008D548D">
    <w:pPr>
      <w:tabs>
        <w:tab w:val="center" w:pos="4320"/>
        <w:tab w:val="right" w:pos="8640"/>
      </w:tabs>
      <w:jc w:val="right"/>
      <w:rPr>
        <w:sz w:val="22"/>
        <w:szCs w:val="22"/>
      </w:rPr>
    </w:pPr>
  </w:p>
  <w:tbl>
    <w:tblPr>
      <w:tblStyle w:val="a0"/>
      <w:tblW w:w="1007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035"/>
      <w:gridCol w:w="5035"/>
    </w:tblGrid>
    <w:tr w:rsidR="008D548D" w14:paraId="6AEDFC06" w14:textId="77777777">
      <w:tc>
        <w:tcPr>
          <w:tcW w:w="5035" w:type="dxa"/>
        </w:tcPr>
        <w:p w14:paraId="61490BCB" w14:textId="77777777" w:rsidR="008D548D" w:rsidRDefault="00A24521">
          <w:pPr>
            <w:tabs>
              <w:tab w:val="center" w:pos="4320"/>
              <w:tab w:val="right" w:pos="8640"/>
            </w:tabs>
            <w:contextualSpacing w:val="0"/>
            <w:rPr>
              <w:i/>
              <w:sz w:val="20"/>
              <w:szCs w:val="20"/>
            </w:rPr>
          </w:pPr>
          <w:r>
            <w:rPr>
              <w:i/>
              <w:sz w:val="20"/>
              <w:szCs w:val="20"/>
            </w:rPr>
            <w:t>Management Action Plan (MAP)</w:t>
          </w:r>
        </w:p>
      </w:tc>
      <w:tc>
        <w:tcPr>
          <w:tcW w:w="5035" w:type="dxa"/>
        </w:tcPr>
        <w:p w14:paraId="4A5646FC" w14:textId="0068A0F2" w:rsidR="008D548D" w:rsidRDefault="00FB1BB8">
          <w:pPr>
            <w:tabs>
              <w:tab w:val="center" w:pos="4320"/>
              <w:tab w:val="right" w:pos="8640"/>
            </w:tabs>
            <w:contextualSpacing w:val="0"/>
            <w:jc w:val="right"/>
            <w:rPr>
              <w:i/>
              <w:sz w:val="20"/>
              <w:szCs w:val="20"/>
            </w:rPr>
          </w:pPr>
          <w:r>
            <w:rPr>
              <w:i/>
              <w:sz w:val="20"/>
              <w:szCs w:val="20"/>
            </w:rPr>
            <w:t>4/19/2017</w:t>
          </w:r>
        </w:p>
      </w:tc>
    </w:tr>
    <w:tr w:rsidR="00FB1BB8" w14:paraId="27D232FD" w14:textId="77777777">
      <w:tc>
        <w:tcPr>
          <w:tcW w:w="5035" w:type="dxa"/>
        </w:tcPr>
        <w:p w14:paraId="3D863ECF" w14:textId="77777777" w:rsidR="00FB1BB8" w:rsidRDefault="00FB1BB8">
          <w:pPr>
            <w:tabs>
              <w:tab w:val="center" w:pos="4320"/>
              <w:tab w:val="right" w:pos="8640"/>
            </w:tabs>
            <w:rPr>
              <w:i/>
              <w:sz w:val="20"/>
              <w:szCs w:val="20"/>
            </w:rPr>
          </w:pPr>
        </w:p>
      </w:tc>
      <w:tc>
        <w:tcPr>
          <w:tcW w:w="5035" w:type="dxa"/>
        </w:tcPr>
        <w:p w14:paraId="62245B5F" w14:textId="77777777" w:rsidR="00FB1BB8" w:rsidRDefault="00FB1BB8">
          <w:pPr>
            <w:tabs>
              <w:tab w:val="center" w:pos="4320"/>
              <w:tab w:val="right" w:pos="8640"/>
            </w:tabs>
            <w:jc w:val="right"/>
            <w:rPr>
              <w:i/>
              <w:sz w:val="20"/>
              <w:szCs w:val="20"/>
            </w:rPr>
          </w:pPr>
        </w:p>
      </w:tc>
    </w:tr>
  </w:tbl>
  <w:p w14:paraId="46EA6126" w14:textId="77777777" w:rsidR="008D548D" w:rsidRDefault="008D548D">
    <w:pPr>
      <w:tabs>
        <w:tab w:val="center" w:pos="4320"/>
        <w:tab w:val="right" w:pos="8640"/>
      </w:tabs>
      <w:spacing w:after="432"/>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027D" w14:textId="77777777" w:rsidR="0044408A" w:rsidRDefault="0044408A">
      <w:r>
        <w:separator/>
      </w:r>
    </w:p>
  </w:footnote>
  <w:footnote w:type="continuationSeparator" w:id="0">
    <w:p w14:paraId="7DE3EC37" w14:textId="77777777" w:rsidR="0044408A" w:rsidRDefault="0044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07DCC" w14:textId="77777777" w:rsidR="008D548D" w:rsidRDefault="00A24521">
    <w:pPr>
      <w:tabs>
        <w:tab w:val="center" w:pos="4320"/>
        <w:tab w:val="right" w:pos="8640"/>
      </w:tabs>
      <w:spacing w:before="720"/>
      <w:jc w:val="center"/>
      <w:rPr>
        <w:rFonts w:ascii="Calibri" w:eastAsia="Calibri" w:hAnsi="Calibri" w:cs="Calibri"/>
        <w:sz w:val="22"/>
        <w:szCs w:val="22"/>
      </w:rPr>
    </w:pPr>
    <w:r>
      <w:rPr>
        <w:noProof/>
      </w:rPr>
      <w:drawing>
        <wp:anchor distT="0" distB="0" distL="114300" distR="114300" simplePos="0" relativeHeight="251658240" behindDoc="0" locked="0" layoutInCell="0" hidden="0" allowOverlap="1" wp14:anchorId="389A62C5" wp14:editId="15CBF00B">
          <wp:simplePos x="0" y="0"/>
          <wp:positionH relativeFrom="margin">
            <wp:posOffset>2424430</wp:posOffset>
          </wp:positionH>
          <wp:positionV relativeFrom="paragraph">
            <wp:posOffset>-177164</wp:posOffset>
          </wp:positionV>
          <wp:extent cx="1549400" cy="875030"/>
          <wp:effectExtent l="0" t="0" r="0" b="0"/>
          <wp:wrapSquare wrapText="bothSides" distT="0" distB="0" distL="114300" distR="114300"/>
          <wp:docPr id="1" name="image01.jpg" descr="cid:1E973287-0DB3-4468-A91C-403F613D076E@csusb.edu"/>
          <wp:cNvGraphicFramePr/>
          <a:graphic xmlns:a="http://schemas.openxmlformats.org/drawingml/2006/main">
            <a:graphicData uri="http://schemas.openxmlformats.org/drawingml/2006/picture">
              <pic:pic xmlns:pic="http://schemas.openxmlformats.org/drawingml/2006/picture">
                <pic:nvPicPr>
                  <pic:cNvPr id="0" name="image01.jpg" descr="cid:1E973287-0DB3-4468-A91C-403F613D076E@csusb.edu"/>
                  <pic:cNvPicPr preferRelativeResize="0"/>
                </pic:nvPicPr>
                <pic:blipFill>
                  <a:blip r:embed="rId1"/>
                  <a:srcRect/>
                  <a:stretch>
                    <a:fillRect/>
                  </a:stretch>
                </pic:blipFill>
                <pic:spPr>
                  <a:xfrm>
                    <a:off x="0" y="0"/>
                    <a:ext cx="1549400" cy="8750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AE8"/>
    <w:multiLevelType w:val="multilevel"/>
    <w:tmpl w:val="BB6230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0D6D71"/>
    <w:multiLevelType w:val="multilevel"/>
    <w:tmpl w:val="B3429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E760595"/>
    <w:multiLevelType w:val="multilevel"/>
    <w:tmpl w:val="AD1C98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D"/>
    <w:rsid w:val="000F1E8A"/>
    <w:rsid w:val="00375968"/>
    <w:rsid w:val="004154BB"/>
    <w:rsid w:val="0044408A"/>
    <w:rsid w:val="004A026D"/>
    <w:rsid w:val="00577259"/>
    <w:rsid w:val="00694BD6"/>
    <w:rsid w:val="008924C9"/>
    <w:rsid w:val="008D548D"/>
    <w:rsid w:val="00913EED"/>
    <w:rsid w:val="00932F66"/>
    <w:rsid w:val="00A24521"/>
    <w:rsid w:val="00BD6D76"/>
    <w:rsid w:val="00C966F1"/>
    <w:rsid w:val="00CE4EAE"/>
    <w:rsid w:val="00D84D19"/>
    <w:rsid w:val="00E54752"/>
    <w:rsid w:val="00F450E4"/>
    <w:rsid w:val="00FB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7332"/>
  <w15:docId w15:val="{FD3233FA-2F1E-4367-B7DD-0B265F7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spacing w:before="100"/>
      <w:outlineLvl w:val="1"/>
    </w:pPr>
    <w:rPr>
      <w:rFonts w:ascii="Calibri" w:eastAsia="Calibri" w:hAnsi="Calibri" w:cs="Calibri"/>
      <w:b/>
      <w:color w:val="4F81BD"/>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32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66"/>
    <w:rPr>
      <w:rFonts w:ascii="Segoe UI" w:hAnsi="Segoe UI" w:cs="Segoe UI"/>
      <w:sz w:val="18"/>
      <w:szCs w:val="18"/>
    </w:rPr>
  </w:style>
  <w:style w:type="paragraph" w:styleId="Header">
    <w:name w:val="header"/>
    <w:basedOn w:val="Normal"/>
    <w:link w:val="HeaderChar"/>
    <w:uiPriority w:val="99"/>
    <w:unhideWhenUsed/>
    <w:rsid w:val="00FB1BB8"/>
    <w:pPr>
      <w:tabs>
        <w:tab w:val="center" w:pos="4680"/>
        <w:tab w:val="right" w:pos="9360"/>
      </w:tabs>
    </w:pPr>
  </w:style>
  <w:style w:type="character" w:customStyle="1" w:styleId="HeaderChar">
    <w:name w:val="Header Char"/>
    <w:basedOn w:val="DefaultParagraphFont"/>
    <w:link w:val="Header"/>
    <w:uiPriority w:val="99"/>
    <w:rsid w:val="00FB1BB8"/>
  </w:style>
  <w:style w:type="paragraph" w:styleId="Footer">
    <w:name w:val="footer"/>
    <w:basedOn w:val="Normal"/>
    <w:link w:val="FooterChar"/>
    <w:uiPriority w:val="99"/>
    <w:unhideWhenUsed/>
    <w:rsid w:val="00FB1BB8"/>
    <w:pPr>
      <w:tabs>
        <w:tab w:val="center" w:pos="4680"/>
        <w:tab w:val="right" w:pos="9360"/>
      </w:tabs>
    </w:pPr>
  </w:style>
  <w:style w:type="character" w:customStyle="1" w:styleId="FooterChar">
    <w:name w:val="Footer Char"/>
    <w:basedOn w:val="DefaultParagraphFont"/>
    <w:link w:val="Footer"/>
    <w:uiPriority w:val="99"/>
    <w:rsid w:val="00FB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Lenora Rodgers</dc:creator>
  <cp:lastModifiedBy>Elsa Lopez</cp:lastModifiedBy>
  <cp:revision>2</cp:revision>
  <cp:lastPrinted>2017-04-18T19:52:00Z</cp:lastPrinted>
  <dcterms:created xsi:type="dcterms:W3CDTF">2017-09-25T22:29:00Z</dcterms:created>
  <dcterms:modified xsi:type="dcterms:W3CDTF">2017-09-25T22:29:00Z</dcterms:modified>
</cp:coreProperties>
</file>