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76" w:rsidRDefault="00C551F2" w:rsidP="00DB4855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-840740</wp:posOffset>
            </wp:positionV>
            <wp:extent cx="1159510" cy="497205"/>
            <wp:effectExtent l="0" t="0" r="2540" b="0"/>
            <wp:wrapNone/>
            <wp:docPr id="5" name="Picture 5" descr="csusb_logo_For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susb_logo_For_PRI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49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780" w:rsidRPr="00FB4D5D">
        <w:rPr>
          <w:b/>
          <w:sz w:val="24"/>
          <w:szCs w:val="24"/>
        </w:rPr>
        <w:t>Procedure Title</w:t>
      </w:r>
      <w:r w:rsidR="00137776" w:rsidRPr="00FB4D5D">
        <w:rPr>
          <w:b/>
          <w:sz w:val="24"/>
          <w:szCs w:val="24"/>
        </w:rPr>
        <w:t>:</w:t>
      </w:r>
      <w:r w:rsidR="00263EBC">
        <w:rPr>
          <w:b/>
          <w:sz w:val="24"/>
          <w:szCs w:val="24"/>
        </w:rPr>
        <w:t xml:space="preserve">  </w:t>
      </w:r>
      <w:r w:rsidR="000B2618">
        <w:rPr>
          <w:b/>
          <w:sz w:val="24"/>
          <w:szCs w:val="24"/>
        </w:rPr>
        <w:t>Allocation of Investment Earnings</w:t>
      </w:r>
    </w:p>
    <w:p w:rsidR="000B2618" w:rsidRDefault="000B2618" w:rsidP="009B41D3">
      <w:pPr>
        <w:spacing w:after="0" w:line="240" w:lineRule="auto"/>
        <w:rPr>
          <w:sz w:val="24"/>
          <w:szCs w:val="24"/>
        </w:rPr>
      </w:pPr>
    </w:p>
    <w:p w:rsidR="009B41D3" w:rsidRPr="000B2618" w:rsidRDefault="009B41D3" w:rsidP="009B41D3">
      <w:pPr>
        <w:spacing w:after="0" w:line="240" w:lineRule="auto"/>
        <w:rPr>
          <w:b/>
          <w:sz w:val="24"/>
          <w:szCs w:val="24"/>
        </w:rPr>
      </w:pPr>
      <w:r w:rsidRPr="000B2618">
        <w:rPr>
          <w:b/>
          <w:sz w:val="24"/>
          <w:szCs w:val="24"/>
        </w:rPr>
        <w:t>Background</w:t>
      </w:r>
    </w:p>
    <w:p w:rsidR="009B41D3" w:rsidRPr="009B41D3" w:rsidRDefault="009B41D3" w:rsidP="009B41D3">
      <w:pPr>
        <w:spacing w:after="0" w:line="240" w:lineRule="auto"/>
        <w:rPr>
          <w:sz w:val="24"/>
          <w:szCs w:val="24"/>
        </w:rPr>
      </w:pPr>
    </w:p>
    <w:p w:rsidR="00836BF5" w:rsidRPr="009B41D3" w:rsidRDefault="00836BF5" w:rsidP="009B41D3">
      <w:pPr>
        <w:spacing w:after="0" w:line="240" w:lineRule="auto"/>
        <w:rPr>
          <w:sz w:val="24"/>
          <w:szCs w:val="24"/>
        </w:rPr>
      </w:pPr>
      <w:r w:rsidRPr="009B41D3">
        <w:rPr>
          <w:sz w:val="24"/>
          <w:szCs w:val="24"/>
        </w:rPr>
        <w:t xml:space="preserve">The bulk of California State University (CSU) </w:t>
      </w:r>
      <w:r>
        <w:rPr>
          <w:sz w:val="24"/>
          <w:szCs w:val="24"/>
        </w:rPr>
        <w:t xml:space="preserve">funds are invested in the </w:t>
      </w:r>
      <w:r w:rsidRPr="002272A2">
        <w:rPr>
          <w:sz w:val="24"/>
          <w:szCs w:val="24"/>
        </w:rPr>
        <w:t>CSU Consolidated Investment pool (CIP), which consists of 4 portfolios</w:t>
      </w:r>
      <w:r w:rsidR="002272A2">
        <w:rPr>
          <w:sz w:val="24"/>
          <w:szCs w:val="24"/>
        </w:rPr>
        <w:t>: 1)</w:t>
      </w:r>
      <w:r w:rsidRPr="002272A2">
        <w:rPr>
          <w:sz w:val="24"/>
          <w:szCs w:val="24"/>
        </w:rPr>
        <w:t xml:space="preserve"> Total Return Portfolio (TRP),</w:t>
      </w:r>
      <w:r w:rsidR="002272A2">
        <w:rPr>
          <w:sz w:val="24"/>
          <w:szCs w:val="24"/>
        </w:rPr>
        <w:t xml:space="preserve"> 2)</w:t>
      </w:r>
      <w:r w:rsidRPr="002272A2">
        <w:rPr>
          <w:sz w:val="24"/>
          <w:szCs w:val="24"/>
        </w:rPr>
        <w:t xml:space="preserve"> Intermediate Duration Portfolio (IDP), </w:t>
      </w:r>
      <w:r w:rsidR="002272A2">
        <w:rPr>
          <w:sz w:val="24"/>
          <w:szCs w:val="24"/>
        </w:rPr>
        <w:t xml:space="preserve">3) </w:t>
      </w:r>
      <w:r w:rsidRPr="002272A2">
        <w:rPr>
          <w:sz w:val="24"/>
          <w:szCs w:val="24"/>
        </w:rPr>
        <w:t xml:space="preserve">Liquidity Portfolio (aka SWIFT), </w:t>
      </w:r>
      <w:r w:rsidR="002272A2">
        <w:rPr>
          <w:sz w:val="24"/>
          <w:szCs w:val="24"/>
        </w:rPr>
        <w:t xml:space="preserve">and 4) </w:t>
      </w:r>
      <w:r w:rsidRPr="002272A2">
        <w:rPr>
          <w:sz w:val="24"/>
          <w:szCs w:val="24"/>
        </w:rPr>
        <w:t>Surplus Money Investment Fund (SMIF)</w:t>
      </w:r>
      <w:r w:rsidR="002272A2">
        <w:rPr>
          <w:sz w:val="24"/>
          <w:szCs w:val="24"/>
        </w:rPr>
        <w:t>.</w:t>
      </w:r>
    </w:p>
    <w:p w:rsidR="009B41D3" w:rsidRPr="009B41D3" w:rsidRDefault="009B41D3" w:rsidP="009B41D3">
      <w:pPr>
        <w:spacing w:after="0" w:line="240" w:lineRule="auto"/>
        <w:rPr>
          <w:sz w:val="24"/>
          <w:szCs w:val="24"/>
        </w:rPr>
      </w:pPr>
    </w:p>
    <w:p w:rsidR="009B41D3" w:rsidRPr="009B41D3" w:rsidRDefault="009B41D3" w:rsidP="009B41D3">
      <w:pPr>
        <w:spacing w:after="0" w:line="240" w:lineRule="auto"/>
        <w:rPr>
          <w:sz w:val="24"/>
          <w:szCs w:val="24"/>
        </w:rPr>
      </w:pPr>
      <w:r w:rsidRPr="009B41D3">
        <w:rPr>
          <w:sz w:val="24"/>
          <w:szCs w:val="24"/>
        </w:rPr>
        <w:t xml:space="preserve">Beginning with the 2018-19 fiscal year, SWIFT and SMIF investment earnings managed centrally by the Chancellor’s Office (CO) will be allocated </w:t>
      </w:r>
      <w:r w:rsidR="002272A2">
        <w:rPr>
          <w:sz w:val="24"/>
          <w:szCs w:val="24"/>
        </w:rPr>
        <w:t xml:space="preserve">to campuses </w:t>
      </w:r>
      <w:r w:rsidRPr="009B41D3">
        <w:rPr>
          <w:sz w:val="24"/>
          <w:szCs w:val="24"/>
        </w:rPr>
        <w:t>for the full year during the first quarter of each year. The</w:t>
      </w:r>
      <w:r w:rsidR="002272A2">
        <w:rPr>
          <w:sz w:val="24"/>
          <w:szCs w:val="24"/>
        </w:rPr>
        <w:t xml:space="preserve"> one-time</w:t>
      </w:r>
      <w:r w:rsidRPr="009B41D3">
        <w:rPr>
          <w:sz w:val="24"/>
          <w:szCs w:val="24"/>
        </w:rPr>
        <w:t xml:space="preserve"> allocation amount each year is equal to the amount earned in the prior year in the main SWIFT and SMIF accounts, net of investment fee</w:t>
      </w:r>
      <w:r w:rsidRPr="006B3607">
        <w:rPr>
          <w:sz w:val="24"/>
          <w:szCs w:val="24"/>
        </w:rPr>
        <w:t>s. Investment Pool Banking Service Fees are allocated on a quarterly basis by the CO.</w:t>
      </w:r>
      <w:r w:rsidRPr="009B41D3">
        <w:rPr>
          <w:sz w:val="24"/>
          <w:szCs w:val="24"/>
        </w:rPr>
        <w:t xml:space="preserve"> The campus earnings distribution </w:t>
      </w:r>
      <w:r w:rsidR="002272A2">
        <w:rPr>
          <w:sz w:val="24"/>
          <w:szCs w:val="24"/>
        </w:rPr>
        <w:t xml:space="preserve">from CO </w:t>
      </w:r>
      <w:r w:rsidRPr="009B41D3">
        <w:rPr>
          <w:sz w:val="24"/>
          <w:szCs w:val="24"/>
        </w:rPr>
        <w:t xml:space="preserve">is based on past year actual equity and revenue collection in all funds participating in the SWIFT pool, and the general fund offset in fund 485. </w:t>
      </w:r>
    </w:p>
    <w:p w:rsidR="009B41D3" w:rsidRPr="009B41D3" w:rsidRDefault="009B41D3" w:rsidP="009B41D3">
      <w:pPr>
        <w:spacing w:after="0" w:line="240" w:lineRule="auto"/>
        <w:rPr>
          <w:sz w:val="24"/>
          <w:szCs w:val="24"/>
        </w:rPr>
      </w:pPr>
    </w:p>
    <w:p w:rsidR="009B41D3" w:rsidRPr="000B2618" w:rsidRDefault="009B41D3" w:rsidP="009B41D3">
      <w:pPr>
        <w:spacing w:after="0" w:line="240" w:lineRule="auto"/>
        <w:rPr>
          <w:b/>
          <w:sz w:val="24"/>
          <w:szCs w:val="24"/>
        </w:rPr>
      </w:pPr>
      <w:r w:rsidRPr="000B2618">
        <w:rPr>
          <w:b/>
          <w:sz w:val="24"/>
          <w:szCs w:val="24"/>
        </w:rPr>
        <w:t>Purpose</w:t>
      </w:r>
    </w:p>
    <w:p w:rsidR="009B41D3" w:rsidRPr="009B41D3" w:rsidRDefault="009B41D3" w:rsidP="009B41D3">
      <w:pPr>
        <w:spacing w:after="0" w:line="240" w:lineRule="auto"/>
        <w:rPr>
          <w:sz w:val="24"/>
          <w:szCs w:val="24"/>
        </w:rPr>
      </w:pPr>
    </w:p>
    <w:p w:rsidR="009B41D3" w:rsidRPr="002272A2" w:rsidRDefault="009B41D3" w:rsidP="009B41D3">
      <w:pPr>
        <w:spacing w:after="0" w:line="240" w:lineRule="auto"/>
        <w:rPr>
          <w:sz w:val="24"/>
          <w:szCs w:val="24"/>
        </w:rPr>
      </w:pPr>
      <w:r w:rsidRPr="002272A2">
        <w:rPr>
          <w:sz w:val="24"/>
          <w:szCs w:val="24"/>
        </w:rPr>
        <w:t xml:space="preserve">This procedure outlines guidelines for allocation of investments earnings across the University in compliance </w:t>
      </w:r>
      <w:r w:rsidR="00CB26DF" w:rsidRPr="002272A2">
        <w:rPr>
          <w:sz w:val="24"/>
          <w:szCs w:val="24"/>
        </w:rPr>
        <w:t xml:space="preserve">with the CSU Legal Accounting and Reporting Manual, which states that </w:t>
      </w:r>
      <w:r w:rsidR="00CB26DF" w:rsidRPr="002272A2">
        <w:rPr>
          <w:i/>
          <w:sz w:val="24"/>
          <w:szCs w:val="24"/>
        </w:rPr>
        <w:t>“</w:t>
      </w:r>
      <w:r w:rsidR="00CB26DF" w:rsidRPr="002272A2">
        <w:rPr>
          <w:i/>
          <w:sz w:val="24"/>
          <w:szCs w:val="24"/>
          <w:lang w:bidi="en-US"/>
        </w:rPr>
        <w:t xml:space="preserve">campuses must establish and maintain documentation of their internal investment allocation methods by fund to assist in training and </w:t>
      </w:r>
      <w:r w:rsidR="00CB26DF" w:rsidRPr="002272A2">
        <w:rPr>
          <w:i/>
          <w:sz w:val="24"/>
          <w:szCs w:val="24"/>
        </w:rPr>
        <w:t>ensure accounting consistency”</w:t>
      </w:r>
    </w:p>
    <w:p w:rsidR="009B41D3" w:rsidRPr="009B41D3" w:rsidRDefault="009B41D3" w:rsidP="009B41D3">
      <w:pPr>
        <w:spacing w:after="0" w:line="240" w:lineRule="auto"/>
        <w:rPr>
          <w:sz w:val="24"/>
          <w:szCs w:val="24"/>
        </w:rPr>
      </w:pPr>
    </w:p>
    <w:p w:rsidR="009B41D3" w:rsidRPr="000B2618" w:rsidRDefault="000B2618" w:rsidP="009B41D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</w:t>
      </w:r>
      <w:r w:rsidRPr="000B2618">
        <w:rPr>
          <w:b/>
          <w:sz w:val="24"/>
          <w:szCs w:val="24"/>
        </w:rPr>
        <w:t>ocedure</w:t>
      </w:r>
    </w:p>
    <w:p w:rsidR="009B41D3" w:rsidRPr="009B41D3" w:rsidRDefault="009B41D3" w:rsidP="009B41D3">
      <w:pPr>
        <w:spacing w:after="0" w:line="240" w:lineRule="auto"/>
        <w:rPr>
          <w:sz w:val="24"/>
          <w:szCs w:val="24"/>
        </w:rPr>
      </w:pPr>
      <w:r w:rsidRPr="009B41D3">
        <w:rPr>
          <w:sz w:val="24"/>
          <w:szCs w:val="24"/>
        </w:rPr>
        <w:tab/>
      </w:r>
    </w:p>
    <w:p w:rsidR="00064F05" w:rsidRDefault="009B41D3" w:rsidP="009B41D3">
      <w:pPr>
        <w:spacing w:after="0" w:line="240" w:lineRule="auto"/>
        <w:rPr>
          <w:sz w:val="24"/>
          <w:szCs w:val="24"/>
        </w:rPr>
      </w:pPr>
      <w:r w:rsidRPr="009B41D3">
        <w:rPr>
          <w:sz w:val="24"/>
          <w:szCs w:val="24"/>
        </w:rPr>
        <w:t xml:space="preserve">The University receives </w:t>
      </w:r>
      <w:r w:rsidR="002272A2">
        <w:rPr>
          <w:sz w:val="24"/>
          <w:szCs w:val="24"/>
        </w:rPr>
        <w:t xml:space="preserve">a one-time annual </w:t>
      </w:r>
      <w:r w:rsidRPr="009B41D3">
        <w:rPr>
          <w:sz w:val="24"/>
          <w:szCs w:val="24"/>
        </w:rPr>
        <w:t xml:space="preserve">distribution of SWIFT and SMIF interest earnings, net of investment fees, from the Chancellor’s Office. Investment Pool Banking Service Fees are projected </w:t>
      </w:r>
      <w:r w:rsidR="00064F05">
        <w:rPr>
          <w:sz w:val="24"/>
          <w:szCs w:val="24"/>
        </w:rPr>
        <w:t>every</w:t>
      </w:r>
      <w:r w:rsidRPr="009B41D3">
        <w:rPr>
          <w:sz w:val="24"/>
          <w:szCs w:val="24"/>
        </w:rPr>
        <w:t xml:space="preserve"> year based on the </w:t>
      </w:r>
      <w:r w:rsidR="00064F05">
        <w:rPr>
          <w:sz w:val="24"/>
          <w:szCs w:val="24"/>
        </w:rPr>
        <w:t>first</w:t>
      </w:r>
      <w:r w:rsidRPr="009B41D3">
        <w:rPr>
          <w:sz w:val="24"/>
          <w:szCs w:val="24"/>
        </w:rPr>
        <w:t xml:space="preserve"> quarterly distribution</w:t>
      </w:r>
      <w:r w:rsidR="00064F05">
        <w:rPr>
          <w:sz w:val="24"/>
          <w:szCs w:val="24"/>
        </w:rPr>
        <w:t xml:space="preserve">. Any shortages/overages resulting from the projected Banking Services Fees will </w:t>
      </w:r>
      <w:r w:rsidR="00CB26DF">
        <w:rPr>
          <w:sz w:val="24"/>
          <w:szCs w:val="24"/>
        </w:rPr>
        <w:t>be journalized to a designated Trust Fund.</w:t>
      </w:r>
    </w:p>
    <w:p w:rsidR="00CB26DF" w:rsidRDefault="00CB26DF" w:rsidP="009B41D3">
      <w:pPr>
        <w:spacing w:after="0" w:line="240" w:lineRule="auto"/>
        <w:rPr>
          <w:sz w:val="24"/>
          <w:szCs w:val="24"/>
        </w:rPr>
      </w:pPr>
    </w:p>
    <w:p w:rsidR="009B41D3" w:rsidRPr="009B41D3" w:rsidRDefault="009B41D3" w:rsidP="009B41D3">
      <w:pPr>
        <w:spacing w:after="0" w:line="240" w:lineRule="auto"/>
        <w:rPr>
          <w:sz w:val="24"/>
          <w:szCs w:val="24"/>
        </w:rPr>
      </w:pPr>
      <w:r w:rsidRPr="009B41D3">
        <w:rPr>
          <w:sz w:val="24"/>
          <w:szCs w:val="24"/>
        </w:rPr>
        <w:t xml:space="preserve">Interest earnings, </w:t>
      </w:r>
      <w:r w:rsidRPr="002272A2">
        <w:rPr>
          <w:sz w:val="24"/>
          <w:szCs w:val="24"/>
        </w:rPr>
        <w:t xml:space="preserve">based on </w:t>
      </w:r>
      <w:r w:rsidR="002272A2">
        <w:rPr>
          <w:sz w:val="24"/>
          <w:szCs w:val="24"/>
        </w:rPr>
        <w:t>prior</w:t>
      </w:r>
      <w:r w:rsidR="00064F05" w:rsidRPr="002272A2">
        <w:rPr>
          <w:sz w:val="24"/>
          <w:szCs w:val="24"/>
        </w:rPr>
        <w:t xml:space="preserve"> year </w:t>
      </w:r>
      <w:r w:rsidRPr="002272A2">
        <w:rPr>
          <w:sz w:val="24"/>
          <w:szCs w:val="24"/>
        </w:rPr>
        <w:t>average daily cash balances</w:t>
      </w:r>
      <w:r w:rsidRPr="009B41D3">
        <w:rPr>
          <w:sz w:val="24"/>
          <w:szCs w:val="24"/>
        </w:rPr>
        <w:t xml:space="preserve">, are distributed </w:t>
      </w:r>
      <w:r w:rsidR="006B3607">
        <w:rPr>
          <w:sz w:val="24"/>
          <w:szCs w:val="24"/>
        </w:rPr>
        <w:t>annually</w:t>
      </w:r>
      <w:r w:rsidRPr="009B41D3">
        <w:rPr>
          <w:sz w:val="24"/>
          <w:szCs w:val="24"/>
        </w:rPr>
        <w:t xml:space="preserve"> in the following manner:</w:t>
      </w:r>
    </w:p>
    <w:p w:rsidR="009B41D3" w:rsidRPr="009B41D3" w:rsidRDefault="009B41D3" w:rsidP="009B41D3">
      <w:pPr>
        <w:spacing w:after="0" w:line="240" w:lineRule="auto"/>
        <w:rPr>
          <w:sz w:val="24"/>
          <w:szCs w:val="24"/>
        </w:rPr>
      </w:pPr>
    </w:p>
    <w:p w:rsidR="009B41D3" w:rsidRPr="009B41D3" w:rsidRDefault="009B41D3" w:rsidP="009B41D3">
      <w:pPr>
        <w:spacing w:after="0" w:line="240" w:lineRule="auto"/>
        <w:rPr>
          <w:sz w:val="24"/>
          <w:szCs w:val="24"/>
        </w:rPr>
      </w:pPr>
    </w:p>
    <w:p w:rsidR="00CB26DF" w:rsidRDefault="009B41D3" w:rsidP="00064F05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064F05">
        <w:rPr>
          <w:sz w:val="24"/>
          <w:szCs w:val="24"/>
        </w:rPr>
        <w:t xml:space="preserve">All University enterprise and auxiliary operations such as Housing, Parking, Health Center, College of Extended </w:t>
      </w:r>
      <w:r w:rsidR="00CB26DF">
        <w:rPr>
          <w:sz w:val="24"/>
          <w:szCs w:val="24"/>
        </w:rPr>
        <w:t>Learning, ASI and Student Union</w:t>
      </w:r>
      <w:r w:rsidR="002272A2">
        <w:rPr>
          <w:sz w:val="24"/>
          <w:szCs w:val="24"/>
        </w:rPr>
        <w:t xml:space="preserve"> receive their portion of investment earnings.</w:t>
      </w:r>
    </w:p>
    <w:p w:rsidR="00CB26DF" w:rsidRDefault="00CB26DF" w:rsidP="00CB26DF">
      <w:pPr>
        <w:pStyle w:val="ListParagraph"/>
        <w:spacing w:after="0" w:line="240" w:lineRule="auto"/>
        <w:rPr>
          <w:sz w:val="24"/>
          <w:szCs w:val="24"/>
        </w:rPr>
      </w:pPr>
    </w:p>
    <w:p w:rsidR="00CB26DF" w:rsidRPr="00064F05" w:rsidRDefault="00CB26DF" w:rsidP="00CB26DF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064F05">
        <w:rPr>
          <w:sz w:val="24"/>
          <w:szCs w:val="24"/>
        </w:rPr>
        <w:t>The CSU Operating fund (CSU 485) receives its portion of investment earnings.</w:t>
      </w:r>
    </w:p>
    <w:p w:rsidR="00CB26DF" w:rsidRPr="00CB26DF" w:rsidRDefault="00CB26DF" w:rsidP="00CB26DF">
      <w:pPr>
        <w:pStyle w:val="ListParagraph"/>
        <w:rPr>
          <w:sz w:val="24"/>
          <w:szCs w:val="24"/>
        </w:rPr>
      </w:pPr>
    </w:p>
    <w:p w:rsidR="009B41D3" w:rsidRPr="00064F05" w:rsidRDefault="00CB26DF" w:rsidP="00064F05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9B41D3" w:rsidRPr="00064F05">
        <w:rPr>
          <w:sz w:val="24"/>
          <w:szCs w:val="24"/>
        </w:rPr>
        <w:t>gency funds</w:t>
      </w:r>
      <w:r>
        <w:rPr>
          <w:sz w:val="24"/>
          <w:szCs w:val="24"/>
        </w:rPr>
        <w:t xml:space="preserve"> (CSU 436)</w:t>
      </w:r>
      <w:r w:rsidR="009B41D3" w:rsidRPr="00064F05">
        <w:rPr>
          <w:sz w:val="24"/>
          <w:szCs w:val="24"/>
        </w:rPr>
        <w:t xml:space="preserve"> receive </w:t>
      </w:r>
      <w:r w:rsidR="002272A2">
        <w:rPr>
          <w:sz w:val="24"/>
          <w:szCs w:val="24"/>
        </w:rPr>
        <w:t xml:space="preserve">their </w:t>
      </w:r>
      <w:r w:rsidR="009B41D3" w:rsidRPr="00064F05">
        <w:rPr>
          <w:sz w:val="24"/>
          <w:szCs w:val="24"/>
        </w:rPr>
        <w:t>portion of investment earnings.</w:t>
      </w:r>
    </w:p>
    <w:p w:rsidR="009B41D3" w:rsidRPr="009B41D3" w:rsidRDefault="009B41D3" w:rsidP="009B41D3">
      <w:pPr>
        <w:spacing w:after="0" w:line="240" w:lineRule="auto"/>
        <w:rPr>
          <w:sz w:val="24"/>
          <w:szCs w:val="24"/>
        </w:rPr>
      </w:pPr>
    </w:p>
    <w:p w:rsidR="003954DE" w:rsidRPr="00064F05" w:rsidRDefault="009B41D3" w:rsidP="00064F05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064F05">
        <w:rPr>
          <w:sz w:val="24"/>
          <w:szCs w:val="24"/>
        </w:rPr>
        <w:t>Any remaining interest earnings balance is allocated to a trust fund designated for discretionary expenditures authorized by the President of the University or designee.</w:t>
      </w:r>
    </w:p>
    <w:p w:rsidR="003954DE" w:rsidRPr="00FD6C07" w:rsidRDefault="003954DE" w:rsidP="00FB4D5D">
      <w:pPr>
        <w:spacing w:after="0" w:line="240" w:lineRule="auto"/>
        <w:rPr>
          <w:sz w:val="20"/>
          <w:szCs w:val="20"/>
        </w:rPr>
      </w:pPr>
    </w:p>
    <w:p w:rsidR="003954DE" w:rsidRDefault="003954DE" w:rsidP="00FB4D5D">
      <w:pPr>
        <w:spacing w:after="0" w:line="240" w:lineRule="auto"/>
        <w:rPr>
          <w:b/>
          <w:sz w:val="20"/>
          <w:szCs w:val="20"/>
        </w:rPr>
      </w:pPr>
    </w:p>
    <w:p w:rsidR="00271780" w:rsidRDefault="004E1522" w:rsidP="00FB4D5D">
      <w:pPr>
        <w:spacing w:after="0" w:line="240" w:lineRule="auto"/>
        <w:rPr>
          <w:b/>
          <w:sz w:val="20"/>
          <w:szCs w:val="20"/>
        </w:rPr>
      </w:pPr>
      <w:r w:rsidRPr="00FB4D5D">
        <w:rPr>
          <w:b/>
          <w:sz w:val="20"/>
          <w:szCs w:val="20"/>
        </w:rPr>
        <w:t>References</w:t>
      </w:r>
      <w:r w:rsidR="00137776" w:rsidRPr="00FB4D5D">
        <w:rPr>
          <w:b/>
          <w:sz w:val="20"/>
          <w:szCs w:val="20"/>
        </w:rPr>
        <w:t>:</w:t>
      </w:r>
    </w:p>
    <w:p w:rsidR="00263320" w:rsidRDefault="00263320" w:rsidP="00FB4D5D">
      <w:pPr>
        <w:spacing w:after="0" w:line="240" w:lineRule="auto"/>
        <w:rPr>
          <w:b/>
          <w:sz w:val="20"/>
          <w:szCs w:val="20"/>
        </w:rPr>
      </w:pPr>
    </w:p>
    <w:p w:rsidR="00CB26DF" w:rsidRDefault="00CB26DF" w:rsidP="0026332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CSU Legal Manual Chapter 34 - </w:t>
      </w:r>
      <w:hyperlink r:id="rId9" w:history="1">
        <w:r w:rsidRPr="00B50B3A">
          <w:rPr>
            <w:rStyle w:val="Hyperlink"/>
            <w:sz w:val="20"/>
            <w:szCs w:val="20"/>
          </w:rPr>
          <w:t>http://www.calstate.edu/financialservices/resources/year-end/Legal/Manual/legal-manual.shtml</w:t>
        </w:r>
      </w:hyperlink>
    </w:p>
    <w:p w:rsidR="00CB26DF" w:rsidRDefault="00CB26DF" w:rsidP="00263320">
      <w:pPr>
        <w:spacing w:after="0" w:line="240" w:lineRule="auto"/>
        <w:rPr>
          <w:sz w:val="20"/>
          <w:szCs w:val="20"/>
        </w:rPr>
      </w:pPr>
    </w:p>
    <w:p w:rsidR="00271780" w:rsidRDefault="00271780" w:rsidP="006516C3">
      <w:pPr>
        <w:spacing w:after="0" w:line="240" w:lineRule="auto"/>
        <w:rPr>
          <w:sz w:val="20"/>
          <w:szCs w:val="20"/>
        </w:rPr>
      </w:pPr>
    </w:p>
    <w:p w:rsidR="00D767EF" w:rsidRDefault="00D767EF" w:rsidP="00FB4D5D">
      <w:pPr>
        <w:spacing w:after="0" w:line="240" w:lineRule="auto"/>
        <w:rPr>
          <w:sz w:val="20"/>
          <w:szCs w:val="20"/>
        </w:rPr>
      </w:pPr>
    </w:p>
    <w:p w:rsidR="00FB4D5D" w:rsidRPr="00FB4D5D" w:rsidRDefault="00FB4D5D" w:rsidP="00FB4D5D">
      <w:pPr>
        <w:spacing w:after="0" w:line="240" w:lineRule="auto"/>
        <w:rPr>
          <w:sz w:val="20"/>
          <w:szCs w:val="20"/>
        </w:rPr>
      </w:pPr>
    </w:p>
    <w:sectPr w:rsidR="00FB4D5D" w:rsidRPr="00FB4D5D" w:rsidSect="00254E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6A" w:rsidRDefault="00314A6A" w:rsidP="000B7922">
      <w:pPr>
        <w:spacing w:after="0" w:line="240" w:lineRule="auto"/>
      </w:pPr>
      <w:r>
        <w:separator/>
      </w:r>
    </w:p>
  </w:endnote>
  <w:endnote w:type="continuationSeparator" w:id="0">
    <w:p w:rsidR="00314A6A" w:rsidRDefault="00314A6A" w:rsidP="000B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85" w:rsidRDefault="002A7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85" w:rsidRDefault="002A7C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85" w:rsidRDefault="002A7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6A" w:rsidRDefault="00314A6A" w:rsidP="000B7922">
      <w:pPr>
        <w:spacing w:after="0" w:line="240" w:lineRule="auto"/>
      </w:pPr>
      <w:r>
        <w:separator/>
      </w:r>
    </w:p>
  </w:footnote>
  <w:footnote w:type="continuationSeparator" w:id="0">
    <w:p w:rsidR="00314A6A" w:rsidRDefault="00314A6A" w:rsidP="000B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85" w:rsidRDefault="002A7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85" w:rsidRDefault="002A7C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60" w:type="dxa"/>
      <w:tblInd w:w="-79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20"/>
      <w:gridCol w:w="5130"/>
      <w:gridCol w:w="3510"/>
    </w:tblGrid>
    <w:tr w:rsidR="009D7199" w:rsidTr="003F5CE2">
      <w:trPr>
        <w:trHeight w:val="262"/>
      </w:trPr>
      <w:tc>
        <w:tcPr>
          <w:tcW w:w="2520" w:type="dxa"/>
          <w:vMerge w:val="restart"/>
          <w:vAlign w:val="center"/>
        </w:tcPr>
        <w:p w:rsidR="009D7199" w:rsidRDefault="009D7199" w:rsidP="003F5CE2">
          <w:pPr>
            <w:pStyle w:val="Header"/>
            <w:ind w:left="-108"/>
            <w:jc w:val="center"/>
          </w:pPr>
        </w:p>
      </w:tc>
      <w:tc>
        <w:tcPr>
          <w:tcW w:w="5130" w:type="dxa"/>
          <w:vMerge w:val="restart"/>
          <w:vAlign w:val="center"/>
        </w:tcPr>
        <w:p w:rsidR="009D7199" w:rsidRPr="0084045C" w:rsidRDefault="000B2618" w:rsidP="003F5CE2">
          <w:pPr>
            <w:pStyle w:val="Header"/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FINANCIAL SERVICES</w:t>
          </w:r>
        </w:p>
        <w:p w:rsidR="009D7199" w:rsidRDefault="009D7199" w:rsidP="003F5CE2">
          <w:pPr>
            <w:pStyle w:val="Header"/>
            <w:spacing w:after="0" w:line="240" w:lineRule="auto"/>
            <w:jc w:val="center"/>
          </w:pPr>
          <w:r w:rsidRPr="0084045C">
            <w:rPr>
              <w:b/>
              <w:sz w:val="28"/>
              <w:szCs w:val="28"/>
            </w:rPr>
            <w:t xml:space="preserve"> POLICIES AND PROCEDURES</w:t>
          </w:r>
        </w:p>
      </w:tc>
      <w:tc>
        <w:tcPr>
          <w:tcW w:w="3510" w:type="dxa"/>
          <w:vAlign w:val="center"/>
        </w:tcPr>
        <w:p w:rsidR="009D7199" w:rsidRPr="0084045C" w:rsidRDefault="009D7199" w:rsidP="000B2618">
          <w:pPr>
            <w:pStyle w:val="Header"/>
            <w:spacing w:after="0" w:line="240" w:lineRule="auto"/>
            <w:jc w:val="center"/>
            <w:rPr>
              <w:sz w:val="18"/>
              <w:szCs w:val="18"/>
            </w:rPr>
          </w:pPr>
          <w:r w:rsidRPr="0084045C">
            <w:rPr>
              <w:sz w:val="18"/>
              <w:szCs w:val="18"/>
            </w:rPr>
            <w:t xml:space="preserve">Last updated date: </w:t>
          </w:r>
          <w:r w:rsidR="000B2618">
            <w:rPr>
              <w:sz w:val="18"/>
              <w:szCs w:val="18"/>
            </w:rPr>
            <w:t>12</w:t>
          </w:r>
          <w:r>
            <w:rPr>
              <w:sz w:val="18"/>
              <w:szCs w:val="18"/>
            </w:rPr>
            <w:t>/</w:t>
          </w:r>
          <w:r w:rsidR="000B2618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</w:t>
          </w:r>
          <w:r w:rsidR="000B2618">
            <w:rPr>
              <w:sz w:val="18"/>
              <w:szCs w:val="18"/>
            </w:rPr>
            <w:t>18</w:t>
          </w:r>
        </w:p>
      </w:tc>
    </w:tr>
    <w:tr w:rsidR="009D7199" w:rsidTr="003F5CE2">
      <w:trPr>
        <w:trHeight w:val="253"/>
      </w:trPr>
      <w:tc>
        <w:tcPr>
          <w:tcW w:w="2520" w:type="dxa"/>
          <w:vMerge/>
          <w:vAlign w:val="center"/>
        </w:tcPr>
        <w:p w:rsidR="009D7199" w:rsidRDefault="009D7199" w:rsidP="003F5CE2">
          <w:pPr>
            <w:pStyle w:val="Header"/>
            <w:jc w:val="center"/>
          </w:pPr>
        </w:p>
      </w:tc>
      <w:tc>
        <w:tcPr>
          <w:tcW w:w="5130" w:type="dxa"/>
          <w:vMerge/>
          <w:vAlign w:val="center"/>
        </w:tcPr>
        <w:p w:rsidR="009D7199" w:rsidRDefault="009D7199" w:rsidP="003F5CE2">
          <w:pPr>
            <w:pStyle w:val="Header"/>
            <w:spacing w:after="0" w:line="240" w:lineRule="auto"/>
            <w:jc w:val="center"/>
          </w:pPr>
        </w:p>
      </w:tc>
      <w:tc>
        <w:tcPr>
          <w:tcW w:w="3510" w:type="dxa"/>
          <w:vAlign w:val="center"/>
        </w:tcPr>
        <w:p w:rsidR="009D7199" w:rsidRPr="0084045C" w:rsidRDefault="009D7199" w:rsidP="00CB26DF">
          <w:pPr>
            <w:pStyle w:val="Header"/>
            <w:spacing w:after="0" w:line="240" w:lineRule="auto"/>
            <w:jc w:val="center"/>
            <w:rPr>
              <w:sz w:val="18"/>
              <w:szCs w:val="18"/>
            </w:rPr>
          </w:pPr>
          <w:r w:rsidRPr="0084045C">
            <w:rPr>
              <w:sz w:val="18"/>
              <w:szCs w:val="18"/>
            </w:rPr>
            <w:t xml:space="preserve">Prepared by: </w:t>
          </w:r>
          <w:r w:rsidR="000B2618">
            <w:rPr>
              <w:sz w:val="18"/>
              <w:szCs w:val="18"/>
            </w:rPr>
            <w:t xml:space="preserve">M. </w:t>
          </w:r>
          <w:r w:rsidR="00CB26DF">
            <w:rPr>
              <w:sz w:val="18"/>
              <w:szCs w:val="18"/>
            </w:rPr>
            <w:t>Badulis</w:t>
          </w:r>
        </w:p>
      </w:tc>
    </w:tr>
    <w:tr w:rsidR="009D7199" w:rsidTr="003F5CE2">
      <w:trPr>
        <w:trHeight w:val="271"/>
      </w:trPr>
      <w:tc>
        <w:tcPr>
          <w:tcW w:w="2520" w:type="dxa"/>
          <w:vMerge/>
          <w:vAlign w:val="center"/>
        </w:tcPr>
        <w:p w:rsidR="009D7199" w:rsidRDefault="009D7199" w:rsidP="003F5CE2">
          <w:pPr>
            <w:pStyle w:val="Header"/>
            <w:jc w:val="center"/>
          </w:pPr>
        </w:p>
      </w:tc>
      <w:tc>
        <w:tcPr>
          <w:tcW w:w="5130" w:type="dxa"/>
          <w:vMerge/>
          <w:vAlign w:val="center"/>
        </w:tcPr>
        <w:p w:rsidR="009D7199" w:rsidRDefault="009D7199" w:rsidP="003F5CE2">
          <w:pPr>
            <w:pStyle w:val="Header"/>
            <w:spacing w:after="0" w:line="240" w:lineRule="auto"/>
            <w:jc w:val="center"/>
          </w:pPr>
        </w:p>
      </w:tc>
      <w:tc>
        <w:tcPr>
          <w:tcW w:w="3510" w:type="dxa"/>
          <w:vAlign w:val="center"/>
        </w:tcPr>
        <w:p w:rsidR="009D7199" w:rsidRPr="0084045C" w:rsidRDefault="009D7199" w:rsidP="003954DE">
          <w:pPr>
            <w:pStyle w:val="Header"/>
            <w:spacing w:after="0" w:line="240" w:lineRule="auto"/>
            <w:jc w:val="center"/>
            <w:rPr>
              <w:sz w:val="18"/>
              <w:szCs w:val="18"/>
            </w:rPr>
          </w:pPr>
          <w:r w:rsidRPr="0084045C">
            <w:rPr>
              <w:sz w:val="18"/>
              <w:szCs w:val="18"/>
            </w:rPr>
            <w:t xml:space="preserve">Reviewed by: </w:t>
          </w:r>
          <w:r>
            <w:rPr>
              <w:sz w:val="18"/>
              <w:szCs w:val="18"/>
            </w:rPr>
            <w:t>M. Farre</w:t>
          </w:r>
        </w:p>
      </w:tc>
    </w:tr>
  </w:tbl>
  <w:sdt>
    <w:sdtPr>
      <w:id w:val="-1549596903"/>
      <w:docPartObj>
        <w:docPartGallery w:val="Watermarks"/>
        <w:docPartUnique/>
      </w:docPartObj>
    </w:sdtPr>
    <w:sdtEndPr/>
    <w:sdtContent>
      <w:p w:rsidR="009D7199" w:rsidRDefault="00314A6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897"/>
    <w:multiLevelType w:val="hybridMultilevel"/>
    <w:tmpl w:val="202204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7CFB"/>
    <w:multiLevelType w:val="hybridMultilevel"/>
    <w:tmpl w:val="68945C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C15B4"/>
    <w:multiLevelType w:val="hybridMultilevel"/>
    <w:tmpl w:val="DDEC5BEC"/>
    <w:lvl w:ilvl="0" w:tplc="A1720F4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27C63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073F5A"/>
    <w:multiLevelType w:val="singleLevel"/>
    <w:tmpl w:val="36FC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49963A02"/>
    <w:multiLevelType w:val="hybridMultilevel"/>
    <w:tmpl w:val="A89A9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A7670"/>
    <w:multiLevelType w:val="singleLevel"/>
    <w:tmpl w:val="E7A2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7DB31FCC"/>
    <w:multiLevelType w:val="singleLevel"/>
    <w:tmpl w:val="20F6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80"/>
    <w:rsid w:val="00064F05"/>
    <w:rsid w:val="000B2618"/>
    <w:rsid w:val="000B7922"/>
    <w:rsid w:val="00137776"/>
    <w:rsid w:val="0016478B"/>
    <w:rsid w:val="002272A2"/>
    <w:rsid w:val="0023196C"/>
    <w:rsid w:val="00254E29"/>
    <w:rsid w:val="00263320"/>
    <w:rsid w:val="00263EBC"/>
    <w:rsid w:val="00271780"/>
    <w:rsid w:val="002813D6"/>
    <w:rsid w:val="00281746"/>
    <w:rsid w:val="002A7C85"/>
    <w:rsid w:val="002B6368"/>
    <w:rsid w:val="00314A6A"/>
    <w:rsid w:val="00343B67"/>
    <w:rsid w:val="003954DE"/>
    <w:rsid w:val="003F5CE2"/>
    <w:rsid w:val="0045484C"/>
    <w:rsid w:val="00480099"/>
    <w:rsid w:val="004C5C0C"/>
    <w:rsid w:val="004E1522"/>
    <w:rsid w:val="005C5C89"/>
    <w:rsid w:val="006516C3"/>
    <w:rsid w:val="006B3607"/>
    <w:rsid w:val="006D3CE9"/>
    <w:rsid w:val="006E11CB"/>
    <w:rsid w:val="0071690F"/>
    <w:rsid w:val="00742764"/>
    <w:rsid w:val="007C1D4C"/>
    <w:rsid w:val="00836BF5"/>
    <w:rsid w:val="0084045C"/>
    <w:rsid w:val="008A2AF6"/>
    <w:rsid w:val="00931357"/>
    <w:rsid w:val="009640C8"/>
    <w:rsid w:val="009B41D3"/>
    <w:rsid w:val="009D0052"/>
    <w:rsid w:val="009D7199"/>
    <w:rsid w:val="00A05F31"/>
    <w:rsid w:val="00AA4B2C"/>
    <w:rsid w:val="00B3131A"/>
    <w:rsid w:val="00B83076"/>
    <w:rsid w:val="00BB5883"/>
    <w:rsid w:val="00BE1D76"/>
    <w:rsid w:val="00C044C6"/>
    <w:rsid w:val="00C21CED"/>
    <w:rsid w:val="00C31E90"/>
    <w:rsid w:val="00C551F2"/>
    <w:rsid w:val="00CB26DF"/>
    <w:rsid w:val="00CD0E42"/>
    <w:rsid w:val="00CF3205"/>
    <w:rsid w:val="00D662BE"/>
    <w:rsid w:val="00D767EF"/>
    <w:rsid w:val="00DB4855"/>
    <w:rsid w:val="00DC3BB8"/>
    <w:rsid w:val="00E567B8"/>
    <w:rsid w:val="00E612E5"/>
    <w:rsid w:val="00FB4D5D"/>
    <w:rsid w:val="00FC6B03"/>
    <w:rsid w:val="00FD63BC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89FCB78-EB3D-44D7-9666-91958929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54E2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9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7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922"/>
    <w:rPr>
      <w:sz w:val="22"/>
      <w:szCs w:val="22"/>
    </w:rPr>
  </w:style>
  <w:style w:type="table" w:styleId="TableGrid">
    <w:name w:val="Table Grid"/>
    <w:basedOn w:val="TableNormal"/>
    <w:uiPriority w:val="59"/>
    <w:rsid w:val="00840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964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4E29"/>
    <w:rPr>
      <w:rFonts w:ascii="Times New Roman" w:eastAsia="Times New Roman" w:hAnsi="Times New Roman"/>
      <w:b/>
      <w:sz w:val="24"/>
    </w:rPr>
  </w:style>
  <w:style w:type="paragraph" w:styleId="BodyTextIndent">
    <w:name w:val="Body Text Indent"/>
    <w:basedOn w:val="Normal"/>
    <w:link w:val="BodyTextIndentChar"/>
    <w:semiHidden/>
    <w:rsid w:val="00254E29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54E29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D767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lstate.edu/financialservices/resources/year-end/Legal/Manual/legal-manual.s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E6AD4-0C0C-49A6-A17A-964903AA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Farre</dc:creator>
  <cp:lastModifiedBy>Matias Farre</cp:lastModifiedBy>
  <cp:revision>6</cp:revision>
  <cp:lastPrinted>2008-06-02T23:44:00Z</cp:lastPrinted>
  <dcterms:created xsi:type="dcterms:W3CDTF">2018-12-04T18:14:00Z</dcterms:created>
  <dcterms:modified xsi:type="dcterms:W3CDTF">2018-12-07T00:47:00Z</dcterms:modified>
</cp:coreProperties>
</file>