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00" w:rsidRDefault="00FF3D2B">
      <w:pPr>
        <w:jc w:val="center"/>
        <w:rPr>
          <w:b/>
          <w:bCs/>
          <w:sz w:val="32"/>
          <w:szCs w:val="32"/>
        </w:rPr>
      </w:pPr>
      <w:r>
        <w:rPr>
          <w:b/>
          <w:bCs/>
          <w:sz w:val="32"/>
          <w:szCs w:val="32"/>
        </w:rPr>
        <w:t xml:space="preserve">The General Data Protection Regulation </w:t>
      </w:r>
    </w:p>
    <w:p w:rsidR="00727D00" w:rsidRDefault="00727D00">
      <w:pPr>
        <w:jc w:val="center"/>
        <w:rPr>
          <w:b/>
          <w:bCs/>
          <w:sz w:val="32"/>
          <w:szCs w:val="32"/>
        </w:rPr>
      </w:pPr>
    </w:p>
    <w:p w:rsidR="00727D00" w:rsidRDefault="00FF3D2B">
      <w:pPr>
        <w:spacing w:line="276" w:lineRule="auto"/>
      </w:pPr>
      <w:r>
        <w:t xml:space="preserve">The General Data Protection </w:t>
      </w:r>
      <w:r w:rsidR="007305B8">
        <w:t>Regulation or</w:t>
      </w:r>
      <w:r>
        <w:t xml:space="preserve"> GDPR will come into effect </w:t>
      </w:r>
      <w:r w:rsidR="007305B8">
        <w:t>on May</w:t>
      </w:r>
      <w:r>
        <w:t xml:space="preserve"> 25 of 2018. It has the potential to significantly alter the way businesses handle and store data. The primary objective of GDPR is to </w:t>
      </w:r>
      <w:r>
        <w:t>strengthen security and privacy protection for individuals.</w:t>
      </w:r>
    </w:p>
    <w:p w:rsidR="00727D00" w:rsidRDefault="00727D00">
      <w:pPr>
        <w:spacing w:line="276" w:lineRule="auto"/>
      </w:pPr>
    </w:p>
    <w:p w:rsidR="00727D00" w:rsidRDefault="00FF3D2B">
      <w:pPr>
        <w:spacing w:line="276" w:lineRule="auto"/>
      </w:pPr>
      <w:r>
        <w:t>The main points of the GDPR is the severity of the potential fines and new requirements such as</w:t>
      </w:r>
    </w:p>
    <w:p w:rsidR="00727D00" w:rsidRDefault="00FF3D2B">
      <w:pPr>
        <w:spacing w:line="276" w:lineRule="auto"/>
      </w:pPr>
      <w:proofErr w:type="gramStart"/>
      <w:r>
        <w:t>breach</w:t>
      </w:r>
      <w:proofErr w:type="gramEnd"/>
      <w:r>
        <w:t xml:space="preserve"> notification, right to access, right to be forgotten, and user consent.</w:t>
      </w:r>
      <w:bookmarkStart w:id="0" w:name="_GoBack"/>
      <w:bookmarkEnd w:id="0"/>
    </w:p>
    <w:p w:rsidR="00727D00" w:rsidRDefault="00727D00">
      <w:pPr>
        <w:spacing w:line="276" w:lineRule="auto"/>
      </w:pPr>
    </w:p>
    <w:p w:rsidR="00727D00" w:rsidRDefault="00FF3D2B">
      <w:pPr>
        <w:spacing w:line="276" w:lineRule="auto"/>
      </w:pPr>
      <w:r>
        <w:t>It primarily focuse</w:t>
      </w:r>
      <w:r>
        <w:t xml:space="preserve">s on personal data, with extra protection for ‘sensitive personal data’. </w:t>
      </w:r>
    </w:p>
    <w:p w:rsidR="00727D00" w:rsidRDefault="00FF3D2B">
      <w:pPr>
        <w:spacing w:line="276" w:lineRule="auto"/>
      </w:pPr>
      <w:r>
        <w:t>Personal data includes data that can be used to identify a person, such as email and physical addresses online identifier, e.g. an IP address. Sensitive personal data includes ethnic</w:t>
      </w:r>
      <w:r>
        <w:t xml:space="preserve"> origin, religion, health, biometric, genetic, political views, etc</w:t>
      </w:r>
      <w:r w:rsidR="007305B8">
        <w:t>.</w:t>
      </w:r>
    </w:p>
    <w:p w:rsidR="00727D00" w:rsidRDefault="00727D00">
      <w:pPr>
        <w:spacing w:line="276" w:lineRule="auto"/>
      </w:pPr>
    </w:p>
    <w:p w:rsidR="00727D00" w:rsidRDefault="00FF3D2B">
      <w:pPr>
        <w:pStyle w:val="BodyText"/>
        <w:spacing w:line="276" w:lineRule="auto"/>
      </w:pPr>
      <w:r>
        <w:t>The GDPR applies to any entity in the EU, any entity in the EU that controls or processes data of any individual , any entity anywhere in the world that offers goods or services to indi</w:t>
      </w:r>
      <w:r>
        <w:t>viduals in the EU, or any entity anywhere in the world that monitors the behavior of EU residents.</w:t>
      </w:r>
    </w:p>
    <w:p w:rsidR="00727D00" w:rsidRDefault="00FF3D2B">
      <w:pPr>
        <w:pStyle w:val="BodyText"/>
        <w:spacing w:line="276" w:lineRule="auto"/>
      </w:pPr>
      <w:r>
        <w:t>The GDPR includes all the processes associated with the collection, retention, use, transfer, disclosure, deletion and data breach or unauthorized disclosure</w:t>
      </w:r>
      <w:r>
        <w:t xml:space="preserve">s. Transfer of data from/to the US </w:t>
      </w:r>
      <w:r w:rsidR="007305B8">
        <w:t>across EU</w:t>
      </w:r>
      <w:r>
        <w:t xml:space="preserve"> borders requires additional certifications, such as a Privacy Shield certification.</w:t>
      </w:r>
    </w:p>
    <w:p w:rsidR="00727D00" w:rsidRDefault="00FF3D2B">
      <w:pPr>
        <w:pStyle w:val="BodyText"/>
        <w:spacing w:line="276" w:lineRule="auto"/>
      </w:pPr>
      <w:r>
        <w:t xml:space="preserve">An important aspect of GDPR is individuals consent for their use of personal information and </w:t>
      </w:r>
      <w:r w:rsidR="007305B8">
        <w:t>excludes general</w:t>
      </w:r>
      <w:r>
        <w:t xml:space="preserve"> waivers, “check</w:t>
      </w:r>
      <w:r>
        <w:t xml:space="preserve"> the box” or automated opt-in consent with optional opt-out. In addition individuals have the “right to be forgotten”, and rights of access for the purpose of examination, correction, objection and erasure, the right to limit scope of processing and no pro</w:t>
      </w:r>
      <w:r>
        <w:t>filing without consent.</w:t>
      </w:r>
    </w:p>
    <w:p w:rsidR="00727D00" w:rsidRDefault="00727D00">
      <w:pPr>
        <w:pStyle w:val="BodyText"/>
      </w:pPr>
    </w:p>
    <w:p w:rsidR="00727D00" w:rsidRDefault="00727D00"/>
    <w:tbl>
      <w:tblPr>
        <w:tblW w:w="99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986"/>
        <w:gridCol w:w="4986"/>
      </w:tblGrid>
      <w:tr w:rsidR="00727D00">
        <w:tc>
          <w:tcPr>
            <w:tcW w:w="4986" w:type="dxa"/>
            <w:tcBorders>
              <w:top w:val="single" w:sz="2" w:space="0" w:color="000000"/>
              <w:left w:val="single" w:sz="2" w:space="0" w:color="000000"/>
              <w:bottom w:val="single" w:sz="2" w:space="0" w:color="000000"/>
            </w:tcBorders>
            <w:shd w:val="clear" w:color="auto" w:fill="auto"/>
            <w:tcMar>
              <w:left w:w="54" w:type="dxa"/>
            </w:tcMar>
          </w:tcPr>
          <w:p w:rsidR="00727D00" w:rsidRDefault="00FF3D2B">
            <w:pPr>
              <w:pStyle w:val="TableContents"/>
              <w:jc w:val="center"/>
            </w:pPr>
            <w:r>
              <w:t xml:space="preserve">FERPA </w:t>
            </w:r>
          </w:p>
        </w:tc>
        <w:tc>
          <w:tcPr>
            <w:tcW w:w="498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27D00" w:rsidRDefault="00FF3D2B">
            <w:pPr>
              <w:pStyle w:val="TableContents"/>
              <w:jc w:val="center"/>
            </w:pPr>
            <w:r>
              <w:t>GDPR</w:t>
            </w:r>
          </w:p>
        </w:tc>
      </w:tr>
      <w:tr w:rsidR="00727D00">
        <w:tc>
          <w:tcPr>
            <w:tcW w:w="4986" w:type="dxa"/>
            <w:tcBorders>
              <w:left w:val="single" w:sz="2" w:space="0" w:color="000000"/>
              <w:bottom w:val="single" w:sz="2" w:space="0" w:color="000000"/>
            </w:tcBorders>
            <w:shd w:val="clear" w:color="auto" w:fill="auto"/>
            <w:tcMar>
              <w:left w:w="54" w:type="dxa"/>
            </w:tcMar>
          </w:tcPr>
          <w:p w:rsidR="00727D00" w:rsidRDefault="00FF3D2B">
            <w:pPr>
              <w:pStyle w:val="ComparisonLTGliederung1"/>
              <w:spacing w:before="96"/>
              <w:rPr>
                <w:sz w:val="24"/>
              </w:rPr>
            </w:pPr>
            <w:r>
              <w:rPr>
                <w:rFonts w:ascii="Arial" w:hAnsi="Arial"/>
                <w:sz w:val="24"/>
              </w:rPr>
              <w:lastRenderedPageBreak/>
              <w:t>“Directory information” is public unless the data subject affirmatively opts out</w:t>
            </w:r>
          </w:p>
          <w:p w:rsidR="00727D00" w:rsidRDefault="00727D00"/>
        </w:tc>
        <w:tc>
          <w:tcPr>
            <w:tcW w:w="4986" w:type="dxa"/>
            <w:tcBorders>
              <w:left w:val="single" w:sz="2" w:space="0" w:color="000000"/>
              <w:bottom w:val="single" w:sz="2" w:space="0" w:color="000000"/>
              <w:right w:val="single" w:sz="2" w:space="0" w:color="000000"/>
            </w:tcBorders>
            <w:shd w:val="clear" w:color="auto" w:fill="auto"/>
            <w:tcMar>
              <w:left w:w="54" w:type="dxa"/>
            </w:tcMar>
          </w:tcPr>
          <w:p w:rsidR="00727D00" w:rsidRDefault="00FF3D2B">
            <w:pPr>
              <w:pStyle w:val="ComparisonLTGliederung1"/>
              <w:spacing w:before="96"/>
              <w:rPr>
                <w:sz w:val="24"/>
              </w:rPr>
            </w:pPr>
            <w:r>
              <w:rPr>
                <w:rFonts w:ascii="Arial" w:hAnsi="Arial"/>
                <w:sz w:val="24"/>
              </w:rPr>
              <w:t>All personal information is protected unless the data subject affirmatively consents to disclosure</w:t>
            </w:r>
          </w:p>
          <w:p w:rsidR="00727D00" w:rsidRDefault="00727D00"/>
        </w:tc>
      </w:tr>
      <w:tr w:rsidR="00727D00">
        <w:tc>
          <w:tcPr>
            <w:tcW w:w="4986" w:type="dxa"/>
            <w:tcBorders>
              <w:left w:val="single" w:sz="2" w:space="0" w:color="000000"/>
              <w:bottom w:val="single" w:sz="2" w:space="0" w:color="000000"/>
            </w:tcBorders>
            <w:shd w:val="clear" w:color="auto" w:fill="auto"/>
            <w:tcMar>
              <w:left w:w="54" w:type="dxa"/>
            </w:tcMar>
          </w:tcPr>
          <w:p w:rsidR="00727D00" w:rsidRDefault="00FF3D2B">
            <w:pPr>
              <w:pStyle w:val="ComparisonLTGliederung1"/>
              <w:spacing w:before="96"/>
              <w:rPr>
                <w:sz w:val="24"/>
              </w:rPr>
            </w:pPr>
            <w:r>
              <w:rPr>
                <w:rFonts w:ascii="Arial" w:hAnsi="Arial"/>
                <w:sz w:val="24"/>
              </w:rPr>
              <w:t xml:space="preserve">Focus is on post-collection issues (who can get data, either inside or outside the University); does not address collection or retention policies </w:t>
            </w:r>
          </w:p>
          <w:p w:rsidR="00727D00" w:rsidRDefault="00727D00"/>
        </w:tc>
        <w:tc>
          <w:tcPr>
            <w:tcW w:w="4986" w:type="dxa"/>
            <w:tcBorders>
              <w:left w:val="single" w:sz="2" w:space="0" w:color="000000"/>
              <w:bottom w:val="single" w:sz="2" w:space="0" w:color="000000"/>
              <w:right w:val="single" w:sz="2" w:space="0" w:color="000000"/>
            </w:tcBorders>
            <w:shd w:val="clear" w:color="auto" w:fill="auto"/>
            <w:tcMar>
              <w:left w:w="54" w:type="dxa"/>
            </w:tcMar>
          </w:tcPr>
          <w:p w:rsidR="00727D00" w:rsidRDefault="00FF3D2B">
            <w:pPr>
              <w:pStyle w:val="ComparisonLTGliederung1"/>
              <w:spacing w:before="96"/>
              <w:rPr>
                <w:sz w:val="24"/>
              </w:rPr>
            </w:pPr>
            <w:r>
              <w:rPr>
                <w:rFonts w:ascii="Arial" w:hAnsi="Arial"/>
                <w:sz w:val="24"/>
              </w:rPr>
              <w:t>Must disclose all data collection and retention policies to data subject, including who in the University ha</w:t>
            </w:r>
            <w:r>
              <w:rPr>
                <w:rFonts w:ascii="Arial" w:hAnsi="Arial"/>
                <w:sz w:val="24"/>
              </w:rPr>
              <w:t>s non-consensual access to data and how data will be used</w:t>
            </w:r>
          </w:p>
          <w:p w:rsidR="00727D00" w:rsidRDefault="00727D00"/>
        </w:tc>
      </w:tr>
    </w:tbl>
    <w:p w:rsidR="00727D00" w:rsidRDefault="00FF3D2B">
      <w:r>
        <w:t>From CSU - OGC presentation to ISO – 12-2017</w:t>
      </w:r>
    </w:p>
    <w:sectPr w:rsidR="00727D00">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00"/>
    <w:rsid w:val="00727D00"/>
    <w:rsid w:val="007305B8"/>
    <w:rsid w:val="00FF3D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59545-1800-4DAF-BF4D-C1EDFB47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spacing w:line="200" w:lineRule="atLeast"/>
    </w:pPr>
    <w:rPr>
      <w:rFonts w:ascii="FreeSans" w:eastAsia="DejaVu Sans" w:hAnsi="FreeSans" w:cs="Liberation Sans"/>
      <w:color w:val="000000"/>
      <w:sz w:val="36"/>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TitleSlideLTGliederung1">
    <w:name w:val="Title Slide~LT~Gliederung 1"/>
    <w:qFormat/>
    <w:pPr>
      <w:spacing w:before="283" w:line="200" w:lineRule="atLeast"/>
    </w:pPr>
    <w:rPr>
      <w:rFonts w:ascii="MS PGothic" w:eastAsia="DejaVu Sans" w:hAnsi="MS PGothic" w:cs="Liberation Sans"/>
      <w:color w:val="000000"/>
      <w:sz w:val="56"/>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MS PGothic" w:eastAsia="DejaVu Sans" w:hAnsi="MS PGothic" w:cs="Liberation Sans"/>
      <w:color w:val="000000"/>
      <w:sz w:val="48"/>
    </w:rPr>
  </w:style>
  <w:style w:type="paragraph" w:customStyle="1" w:styleId="TitleSlideLTUntertitel">
    <w:name w:val="Title Slide~LT~Untertitel"/>
    <w:qFormat/>
    <w:pPr>
      <w:jc w:val="center"/>
    </w:pPr>
    <w:rPr>
      <w:rFonts w:ascii="FreeSans" w:eastAsia="DejaVu Sans" w:hAnsi="FreeSans" w:cs="Liberation Sans"/>
      <w:color w:val="000000"/>
      <w:sz w:val="64"/>
    </w:rPr>
  </w:style>
  <w:style w:type="paragraph" w:customStyle="1" w:styleId="TitleSlideLTNotizen">
    <w:name w:val="Title Slide~LT~Notizen"/>
    <w:qFormat/>
    <w:pPr>
      <w:ind w:left="340" w:hanging="340"/>
    </w:pPr>
    <w:rPr>
      <w:rFonts w:ascii="FreeSans" w:eastAsia="DejaVu Sans" w:hAnsi="FreeSans" w:cs="Liberation Sans"/>
      <w:color w:val="000000"/>
      <w:sz w:val="40"/>
    </w:rPr>
  </w:style>
  <w:style w:type="paragraph" w:customStyle="1" w:styleId="TitleSlideLTHintergrundobjekte">
    <w:name w:val="Title Slide~LT~Hintergrundobjekte"/>
    <w:qFormat/>
    <w:rPr>
      <w:rFonts w:eastAsia="DejaVu Sans" w:cs="Liberation Sans"/>
    </w:rPr>
  </w:style>
  <w:style w:type="paragraph" w:customStyle="1" w:styleId="TitleSlideLTHintergrund">
    <w:name w:val="Title Slide~LT~Hintergrund"/>
    <w:qFormat/>
    <w:rPr>
      <w:rFonts w:eastAsia="DejaVu Sans" w:cs="Liberation Sans"/>
    </w:rPr>
  </w:style>
  <w:style w:type="paragraph" w:customStyle="1" w:styleId="default0">
    <w:name w:val="default"/>
    <w:qFormat/>
    <w:pPr>
      <w:spacing w:line="200" w:lineRule="atLeast"/>
    </w:pPr>
    <w:rPr>
      <w:rFonts w:ascii="FreeSans" w:eastAsia="DejaVu Sans" w:hAnsi="FreeSans" w:cs="Liberation Sans"/>
      <w:color w:val="000000"/>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DejaVu Sans" w:cs="Liberation Sans"/>
    </w:rPr>
  </w:style>
  <w:style w:type="paragraph" w:customStyle="1" w:styleId="Background">
    <w:name w:val="Background"/>
    <w:qFormat/>
    <w:rPr>
      <w:rFonts w:eastAsia="DejaVu Sans" w:cs="Liberation Sans"/>
    </w:rPr>
  </w:style>
  <w:style w:type="paragraph" w:customStyle="1" w:styleId="Notes">
    <w:name w:val="Notes"/>
    <w:qFormat/>
    <w:pPr>
      <w:ind w:left="340" w:hanging="340"/>
    </w:pPr>
    <w:rPr>
      <w:rFonts w:ascii="FreeSans" w:eastAsia="DejaVu Sans" w:hAnsi="FreeSans" w:cs="Liberation Sans"/>
      <w:color w:val="000000"/>
      <w:sz w:val="40"/>
    </w:rPr>
  </w:style>
  <w:style w:type="paragraph" w:customStyle="1" w:styleId="Outline1">
    <w:name w:val="Outline 1"/>
    <w:qFormat/>
    <w:pPr>
      <w:spacing w:before="283" w:line="200" w:lineRule="atLeast"/>
    </w:pPr>
    <w:rPr>
      <w:rFonts w:ascii="MS PGothic" w:eastAsia="DejaVu Sans" w:hAnsi="MS PGothic" w:cs="Liberation Sans"/>
      <w:color w:val="000000"/>
      <w:sz w:val="56"/>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MS PGothic" w:eastAsia="DejaVu Sans" w:hAnsi="MS PGothic" w:cs="Liberation Sans"/>
      <w:color w:val="000000"/>
      <w:sz w:val="56"/>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MS PGothic" w:eastAsia="DejaVu Sans" w:hAnsi="MS PGothic" w:cs="Liberation Sans"/>
      <w:color w:val="000000"/>
      <w:sz w:val="48"/>
    </w:rPr>
  </w:style>
  <w:style w:type="paragraph" w:customStyle="1" w:styleId="TitleandContentLTUntertitel">
    <w:name w:val="Title and Content~LT~Untertitel"/>
    <w:qFormat/>
    <w:pPr>
      <w:jc w:val="center"/>
    </w:pPr>
    <w:rPr>
      <w:rFonts w:ascii="FreeSans" w:eastAsia="DejaVu Sans" w:hAnsi="FreeSans" w:cs="Liberation Sans"/>
      <w:color w:val="000000"/>
      <w:sz w:val="64"/>
    </w:rPr>
  </w:style>
  <w:style w:type="paragraph" w:customStyle="1" w:styleId="TitleandContentLTNotizen">
    <w:name w:val="Title and Content~LT~Notizen"/>
    <w:qFormat/>
    <w:pPr>
      <w:ind w:left="340" w:hanging="340"/>
    </w:pPr>
    <w:rPr>
      <w:rFonts w:ascii="FreeSans" w:eastAsia="DejaVu Sans" w:hAnsi="FreeSans" w:cs="Liberation Sans"/>
      <w:color w:val="000000"/>
      <w:sz w:val="40"/>
    </w:rPr>
  </w:style>
  <w:style w:type="paragraph" w:customStyle="1" w:styleId="TitleandContentLTHintergrundobjekte">
    <w:name w:val="Title and Content~LT~Hintergrundobjekte"/>
    <w:qFormat/>
    <w:rPr>
      <w:rFonts w:eastAsia="DejaVu Sans" w:cs="Liberation Sans"/>
    </w:rPr>
  </w:style>
  <w:style w:type="paragraph" w:customStyle="1" w:styleId="TitleandContentLTHintergrund">
    <w:name w:val="Title and Content~LT~Hintergrund"/>
    <w:qFormat/>
    <w:rPr>
      <w:rFonts w:eastAsia="DejaVu Sans" w:cs="Liberation Sans"/>
    </w:rPr>
  </w:style>
  <w:style w:type="paragraph" w:customStyle="1" w:styleId="BlankLTGliederung1">
    <w:name w:val="Blank~LT~Gliederung 1"/>
    <w:qFormat/>
    <w:pPr>
      <w:spacing w:before="283" w:line="200" w:lineRule="atLeast"/>
    </w:pPr>
    <w:rPr>
      <w:rFonts w:ascii="MS PGothic" w:eastAsia="DejaVu Sans" w:hAnsi="MS PGothic" w:cs="Liberation Sans"/>
      <w:color w:val="000000"/>
      <w:sz w:val="56"/>
    </w:rPr>
  </w:style>
  <w:style w:type="paragraph" w:customStyle="1" w:styleId="BlankLTGliederung2">
    <w:name w:val="Blank~LT~Gliederung 2"/>
    <w:basedOn w:val="BlankLTGliederung1"/>
    <w:qFormat/>
    <w:pPr>
      <w:spacing w:before="227"/>
    </w:pPr>
    <w:rPr>
      <w:sz w:val="48"/>
    </w:rPr>
  </w:style>
  <w:style w:type="paragraph" w:customStyle="1" w:styleId="BlankLTGliederung3">
    <w:name w:val="Blank~LT~Gliederung 3"/>
    <w:basedOn w:val="BlankLTGliederung2"/>
    <w:qFormat/>
    <w:pPr>
      <w:spacing w:before="170"/>
    </w:pPr>
    <w:rPr>
      <w:sz w:val="40"/>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MS PGothic" w:eastAsia="DejaVu Sans" w:hAnsi="MS PGothic" w:cs="Liberation Sans"/>
      <w:color w:val="000000"/>
      <w:sz w:val="48"/>
    </w:rPr>
  </w:style>
  <w:style w:type="paragraph" w:customStyle="1" w:styleId="BlankLTUntertitel">
    <w:name w:val="Blank~LT~Untertitel"/>
    <w:qFormat/>
    <w:pPr>
      <w:jc w:val="center"/>
    </w:pPr>
    <w:rPr>
      <w:rFonts w:ascii="FreeSans" w:eastAsia="DejaVu Sans" w:hAnsi="FreeSans" w:cs="Liberation Sans"/>
      <w:color w:val="000000"/>
      <w:sz w:val="64"/>
    </w:rPr>
  </w:style>
  <w:style w:type="paragraph" w:customStyle="1" w:styleId="BlankLTNotizen">
    <w:name w:val="Blank~LT~Notizen"/>
    <w:qFormat/>
    <w:pPr>
      <w:ind w:left="340" w:hanging="340"/>
    </w:pPr>
    <w:rPr>
      <w:rFonts w:ascii="FreeSans" w:eastAsia="DejaVu Sans" w:hAnsi="FreeSans" w:cs="Liberation Sans"/>
      <w:color w:val="000000"/>
      <w:sz w:val="40"/>
    </w:rPr>
  </w:style>
  <w:style w:type="paragraph" w:customStyle="1" w:styleId="BlankLTHintergrundobjekte">
    <w:name w:val="Blank~LT~Hintergrundobjekte"/>
    <w:qFormat/>
    <w:rPr>
      <w:rFonts w:eastAsia="DejaVu Sans" w:cs="Liberation Sans"/>
    </w:rPr>
  </w:style>
  <w:style w:type="paragraph" w:customStyle="1" w:styleId="BlankLTHintergrund">
    <w:name w:val="Blank~LT~Hintergrund"/>
    <w:qFormat/>
    <w:rPr>
      <w:rFonts w:eastAsia="DejaVu Sans" w:cs="Liberation Sans"/>
    </w:rPr>
  </w:style>
  <w:style w:type="paragraph" w:customStyle="1" w:styleId="TwoContentLTGliederung1">
    <w:name w:val="Two Content~LT~Gliederung 1"/>
    <w:qFormat/>
    <w:pPr>
      <w:spacing w:before="283" w:line="200" w:lineRule="atLeast"/>
    </w:pPr>
    <w:rPr>
      <w:rFonts w:ascii="MS PGothic" w:eastAsia="DejaVu Sans" w:hAnsi="MS PGothic" w:cs="Liberation Sans"/>
      <w:color w:val="000000"/>
      <w:sz w:val="56"/>
    </w:rPr>
  </w:style>
  <w:style w:type="paragraph" w:customStyle="1" w:styleId="TwoContentLTGliederung2">
    <w:name w:val="Two Content~LT~Gliederung 2"/>
    <w:basedOn w:val="TwoContentLTGliederung1"/>
    <w:qFormat/>
    <w:pPr>
      <w:spacing w:before="227"/>
    </w:pPr>
    <w:rPr>
      <w:sz w:val="48"/>
    </w:rPr>
  </w:style>
  <w:style w:type="paragraph" w:customStyle="1" w:styleId="TwoContentLTGliederung3">
    <w:name w:val="Two Content~LT~Gliederung 3"/>
    <w:basedOn w:val="TwoContentLTGliederung2"/>
    <w:qFormat/>
    <w:pPr>
      <w:spacing w:before="170"/>
    </w:pPr>
    <w:rPr>
      <w:sz w:val="40"/>
    </w:rPr>
  </w:style>
  <w:style w:type="paragraph" w:customStyle="1" w:styleId="TwoContentLTGliederung4">
    <w:name w:val="Two Content~LT~Gliederung 4"/>
    <w:basedOn w:val="TwoContentLTGliederung3"/>
    <w:qFormat/>
    <w:pPr>
      <w:spacing w:before="113"/>
    </w:pPr>
  </w:style>
  <w:style w:type="paragraph" w:customStyle="1" w:styleId="TwoContentLTGliederung5">
    <w:name w:val="Two Content~LT~Gliederung 5"/>
    <w:basedOn w:val="TwoContentLTGliederung4"/>
    <w:qFormat/>
    <w:pPr>
      <w:spacing w:before="57"/>
    </w:pPr>
  </w:style>
  <w:style w:type="paragraph" w:customStyle="1" w:styleId="TwoContentLTGliederung6">
    <w:name w:val="Two Content~LT~Gliederung 6"/>
    <w:basedOn w:val="TwoContentLTGliederung5"/>
    <w:qFormat/>
  </w:style>
  <w:style w:type="paragraph" w:customStyle="1" w:styleId="TwoContentLTGliederung7">
    <w:name w:val="Two Content~LT~Gliederung 7"/>
    <w:basedOn w:val="TwoContentLTGliederung6"/>
    <w:qFormat/>
  </w:style>
  <w:style w:type="paragraph" w:customStyle="1" w:styleId="TwoContentLTGliederung8">
    <w:name w:val="Two Content~LT~Gliederung 8"/>
    <w:basedOn w:val="TwoContentLTGliederung7"/>
    <w:qFormat/>
  </w:style>
  <w:style w:type="paragraph" w:customStyle="1" w:styleId="TwoContentLTGliederung9">
    <w:name w:val="Two Content~LT~Gliederung 9"/>
    <w:basedOn w:val="TwoContentLTGliederung8"/>
    <w:qFormat/>
  </w:style>
  <w:style w:type="paragraph" w:customStyle="1" w:styleId="TwoContentLTTitel">
    <w:name w:val="Two Content~LT~Titel"/>
    <w:qFormat/>
    <w:pPr>
      <w:spacing w:line="200" w:lineRule="atLeast"/>
    </w:pPr>
    <w:rPr>
      <w:rFonts w:ascii="MS PGothic" w:eastAsia="DejaVu Sans" w:hAnsi="MS PGothic" w:cs="Liberation Sans"/>
      <w:color w:val="000000"/>
      <w:sz w:val="48"/>
    </w:rPr>
  </w:style>
  <w:style w:type="paragraph" w:customStyle="1" w:styleId="TwoContentLTUntertitel">
    <w:name w:val="Two Content~LT~Untertitel"/>
    <w:qFormat/>
    <w:pPr>
      <w:jc w:val="center"/>
    </w:pPr>
    <w:rPr>
      <w:rFonts w:ascii="FreeSans" w:eastAsia="DejaVu Sans" w:hAnsi="FreeSans" w:cs="Liberation Sans"/>
      <w:color w:val="000000"/>
      <w:sz w:val="64"/>
    </w:rPr>
  </w:style>
  <w:style w:type="paragraph" w:customStyle="1" w:styleId="TwoContentLTNotizen">
    <w:name w:val="Two Content~LT~Notizen"/>
    <w:qFormat/>
    <w:pPr>
      <w:ind w:left="340" w:hanging="340"/>
    </w:pPr>
    <w:rPr>
      <w:rFonts w:ascii="FreeSans" w:eastAsia="DejaVu Sans" w:hAnsi="FreeSans" w:cs="Liberation Sans"/>
      <w:color w:val="000000"/>
      <w:sz w:val="40"/>
    </w:rPr>
  </w:style>
  <w:style w:type="paragraph" w:customStyle="1" w:styleId="TwoContentLTHintergrundobjekte">
    <w:name w:val="Two Content~LT~Hintergrundobjekte"/>
    <w:qFormat/>
    <w:rPr>
      <w:rFonts w:eastAsia="DejaVu Sans" w:cs="Liberation Sans"/>
    </w:rPr>
  </w:style>
  <w:style w:type="paragraph" w:customStyle="1" w:styleId="TwoContentLTHintergrund">
    <w:name w:val="Two Content~LT~Hintergrund"/>
    <w:qFormat/>
    <w:rPr>
      <w:rFonts w:eastAsia="DejaVu Sans" w:cs="Liberation Sans"/>
    </w:rPr>
  </w:style>
  <w:style w:type="paragraph" w:customStyle="1" w:styleId="ComparisonLTGliederung1">
    <w:name w:val="Comparison~LT~Gliederung 1"/>
    <w:qFormat/>
    <w:pPr>
      <w:spacing w:before="283" w:line="200" w:lineRule="atLeast"/>
    </w:pPr>
    <w:rPr>
      <w:rFonts w:ascii="MS PGothic" w:eastAsia="DejaVu Sans" w:hAnsi="MS PGothic" w:cs="Liberation Sans"/>
      <w:color w:val="000000"/>
      <w:sz w:val="56"/>
    </w:rPr>
  </w:style>
  <w:style w:type="paragraph" w:customStyle="1" w:styleId="ComparisonLTGliederung2">
    <w:name w:val="Comparison~LT~Gliederung 2"/>
    <w:basedOn w:val="ComparisonLTGliederung1"/>
    <w:qFormat/>
    <w:pPr>
      <w:spacing w:before="227"/>
    </w:pPr>
    <w:rPr>
      <w:sz w:val="48"/>
    </w:rPr>
  </w:style>
  <w:style w:type="paragraph" w:customStyle="1" w:styleId="ComparisonLTGliederung3">
    <w:name w:val="Comparison~LT~Gliederung 3"/>
    <w:basedOn w:val="ComparisonLTGliederung2"/>
    <w:qFormat/>
    <w:pPr>
      <w:spacing w:before="170"/>
    </w:pPr>
    <w:rPr>
      <w:sz w:val="40"/>
    </w:rPr>
  </w:style>
  <w:style w:type="paragraph" w:customStyle="1" w:styleId="ComparisonLTGliederung4">
    <w:name w:val="Comparison~LT~Gliederung 4"/>
    <w:basedOn w:val="ComparisonLTGliederung3"/>
    <w:qFormat/>
    <w:pPr>
      <w:spacing w:before="113"/>
    </w:pPr>
  </w:style>
  <w:style w:type="paragraph" w:customStyle="1" w:styleId="ComparisonLTGliederung5">
    <w:name w:val="Comparison~LT~Gliederung 5"/>
    <w:basedOn w:val="ComparisonLTGliederung4"/>
    <w:qFormat/>
    <w:pPr>
      <w:spacing w:before="57"/>
    </w:pPr>
  </w:style>
  <w:style w:type="paragraph" w:customStyle="1" w:styleId="ComparisonLTGliederung6">
    <w:name w:val="Comparison~LT~Gliederung 6"/>
    <w:basedOn w:val="ComparisonLTGliederung5"/>
    <w:qFormat/>
  </w:style>
  <w:style w:type="paragraph" w:customStyle="1" w:styleId="ComparisonLTGliederung7">
    <w:name w:val="Comparison~LT~Gliederung 7"/>
    <w:basedOn w:val="ComparisonLTGliederung6"/>
    <w:qFormat/>
  </w:style>
  <w:style w:type="paragraph" w:customStyle="1" w:styleId="ComparisonLTGliederung8">
    <w:name w:val="Comparison~LT~Gliederung 8"/>
    <w:basedOn w:val="ComparisonLTGliederung7"/>
    <w:qFormat/>
  </w:style>
  <w:style w:type="paragraph" w:customStyle="1" w:styleId="ComparisonLTGliederung9">
    <w:name w:val="Comparison~LT~Gliederung 9"/>
    <w:basedOn w:val="ComparisonLTGliederung8"/>
    <w:qFormat/>
  </w:style>
  <w:style w:type="paragraph" w:customStyle="1" w:styleId="ComparisonLTTitel">
    <w:name w:val="Comparison~LT~Titel"/>
    <w:qFormat/>
    <w:pPr>
      <w:spacing w:line="200" w:lineRule="atLeast"/>
    </w:pPr>
    <w:rPr>
      <w:rFonts w:ascii="MS PGothic" w:eastAsia="DejaVu Sans" w:hAnsi="MS PGothic" w:cs="Liberation Sans"/>
      <w:color w:val="000000"/>
      <w:sz w:val="48"/>
    </w:rPr>
  </w:style>
  <w:style w:type="paragraph" w:customStyle="1" w:styleId="ComparisonLTUntertitel">
    <w:name w:val="Comparison~LT~Untertitel"/>
    <w:qFormat/>
    <w:pPr>
      <w:jc w:val="center"/>
    </w:pPr>
    <w:rPr>
      <w:rFonts w:ascii="FreeSans" w:eastAsia="DejaVu Sans" w:hAnsi="FreeSans" w:cs="Liberation Sans"/>
      <w:color w:val="000000"/>
      <w:sz w:val="64"/>
    </w:rPr>
  </w:style>
  <w:style w:type="paragraph" w:customStyle="1" w:styleId="ComparisonLTNotizen">
    <w:name w:val="Comparison~LT~Notizen"/>
    <w:qFormat/>
    <w:pPr>
      <w:ind w:left="340" w:hanging="340"/>
    </w:pPr>
    <w:rPr>
      <w:rFonts w:ascii="FreeSans" w:eastAsia="DejaVu Sans" w:hAnsi="FreeSans" w:cs="Liberation Sans"/>
      <w:color w:val="000000"/>
      <w:sz w:val="40"/>
    </w:rPr>
  </w:style>
  <w:style w:type="paragraph" w:customStyle="1" w:styleId="ComparisonLTHintergrundobjekte">
    <w:name w:val="Comparison~LT~Hintergrundobjekte"/>
    <w:qFormat/>
    <w:rPr>
      <w:rFonts w:eastAsia="DejaVu Sans" w:cs="Liberation Sans"/>
    </w:rPr>
  </w:style>
  <w:style w:type="paragraph" w:customStyle="1" w:styleId="ComparisonLTHintergrund">
    <w:name w:val="Comparison~LT~Hintergrund"/>
    <w:qFormat/>
    <w:rPr>
      <w:rFonts w:eastAsia="DejaVu Sans" w:cs="Liberation Sans"/>
    </w:rPr>
  </w:style>
  <w:style w:type="paragraph" w:customStyle="1" w:styleId="TableContents">
    <w:name w:val="Table Contents"/>
    <w:basedOn w:val="Normal"/>
    <w:qFormat/>
  </w:style>
  <w:style w:type="paragraph" w:styleId="BalloonText">
    <w:name w:val="Balloon Text"/>
    <w:basedOn w:val="Normal"/>
    <w:link w:val="BalloonTextChar"/>
    <w:uiPriority w:val="99"/>
    <w:semiHidden/>
    <w:unhideWhenUsed/>
    <w:rsid w:val="007305B8"/>
    <w:rPr>
      <w:rFonts w:ascii="Segoe UI" w:hAnsi="Segoe UI" w:cs="Mangal"/>
      <w:sz w:val="18"/>
      <w:szCs w:val="16"/>
    </w:rPr>
  </w:style>
  <w:style w:type="character" w:customStyle="1" w:styleId="BalloonTextChar">
    <w:name w:val="Balloon Text Char"/>
    <w:basedOn w:val="DefaultParagraphFont"/>
    <w:link w:val="BalloonText"/>
    <w:uiPriority w:val="99"/>
    <w:semiHidden/>
    <w:rsid w:val="007305B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dc:description/>
  <cp:lastModifiedBy>Karina Alvarado</cp:lastModifiedBy>
  <cp:revision>2</cp:revision>
  <cp:lastPrinted>2018-04-26T20:10:00Z</cp:lastPrinted>
  <dcterms:created xsi:type="dcterms:W3CDTF">2018-04-26T20:15:00Z</dcterms:created>
  <dcterms:modified xsi:type="dcterms:W3CDTF">2018-04-26T20:15:00Z</dcterms:modified>
  <dc:language>en-US</dc:language>
</cp:coreProperties>
</file>