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DF" w:rsidRDefault="00C93BDF" w:rsidP="00C93BDF">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5626735" cy="210820"/>
                <wp:effectExtent l="5715" t="8890" r="6350"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735" cy="210820"/>
                        </a:xfrm>
                        <a:prstGeom prst="rect">
                          <a:avLst/>
                        </a:prstGeom>
                        <a:noFill/>
                        <a:ln w="7366">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93BDF" w:rsidRDefault="00032829" w:rsidP="00C93BDF">
                            <w:pPr>
                              <w:spacing w:line="317" w:lineRule="exact"/>
                              <w:jc w:val="center"/>
                              <w:rPr>
                                <w:rFonts w:ascii="Arial Narrow" w:eastAsia="Arial Narrow" w:hAnsi="Arial Narrow" w:cs="Arial Narrow"/>
                                <w:sz w:val="28"/>
                                <w:szCs w:val="28"/>
                              </w:rPr>
                            </w:pPr>
                            <w:r>
                              <w:rPr>
                                <w:rFonts w:ascii="Arial Narrow"/>
                                <w:b/>
                                <w:spacing w:val="-1"/>
                                <w:sz w:val="28"/>
                              </w:rPr>
                              <w:t>Adding Concentrations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43.05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" filled="f" strokecolor="red" strokeweight=".58pt">
                <v:textbox inset="0,0,0,0">
                  <w:txbxContent>
                    <w:p w:rsidR="00C93BDF" w:rsidRDefault="00032829" w:rsidP="00C93BDF">
                      <w:pPr>
                        <w:spacing w:line="317" w:lineRule="exact"/>
                        <w:jc w:val="center"/>
                        <w:rPr>
                          <w:rFonts w:ascii="Arial Narrow" w:eastAsia="Arial Narrow" w:hAnsi="Arial Narrow" w:cs="Arial Narrow"/>
                          <w:sz w:val="28"/>
                          <w:szCs w:val="28"/>
                        </w:rPr>
                      </w:pPr>
                      <w:r>
                        <w:rPr>
                          <w:rFonts w:ascii="Arial Narrow"/>
                          <w:b/>
                          <w:spacing w:val="-1"/>
                          <w:sz w:val="28"/>
                        </w:rPr>
                        <w:t>Adding Concentrations</w:t>
                      </w:r>
                    </w:p>
                  </w:txbxContent>
                </v:textbox>
                <w10:anchorlock/>
              </v:shape>
            </w:pict>
          </mc:Fallback>
        </mc:AlternateContent>
      </w:r>
    </w:p>
    <w:p w:rsidR="00032829" w:rsidRDefault="00032829" w:rsidP="00032829">
      <w:pPr>
        <w:pStyle w:val="Default"/>
      </w:pPr>
    </w:p>
    <w:p w:rsidR="00032829" w:rsidRDefault="00032829" w:rsidP="00032829">
      <w:pPr>
        <w:pStyle w:val="Default"/>
        <w:rPr>
          <w:sz w:val="23"/>
          <w:szCs w:val="23"/>
        </w:rPr>
      </w:pPr>
      <w:r>
        <w:rPr>
          <w:b/>
          <w:bCs/>
          <w:sz w:val="23"/>
          <w:szCs w:val="23"/>
        </w:rPr>
        <w:t xml:space="preserve">Definitions </w:t>
      </w:r>
    </w:p>
    <w:p w:rsidR="00032829" w:rsidRDefault="00032829" w:rsidP="00032829">
      <w:pPr>
        <w:pStyle w:val="Default"/>
        <w:rPr>
          <w:sz w:val="23"/>
          <w:szCs w:val="23"/>
        </w:rPr>
      </w:pPr>
      <w:r>
        <w:rPr>
          <w:sz w:val="23"/>
          <w:szCs w:val="23"/>
        </w:rPr>
        <w:t xml:space="preserve">While the CSU does not have </w:t>
      </w:r>
      <w:proofErr w:type="spellStart"/>
      <w:r>
        <w:rPr>
          <w:sz w:val="23"/>
          <w:szCs w:val="23"/>
        </w:rPr>
        <w:t>systemwide</w:t>
      </w:r>
      <w:proofErr w:type="spellEnd"/>
      <w:r>
        <w:rPr>
          <w:sz w:val="23"/>
          <w:szCs w:val="23"/>
        </w:rPr>
        <w:t xml:space="preserve"> definitions for options, concentrations, emphases, and special emphases—and definitions will vary by campus—in practice, these are considered “subprograms” that are minimal requirements relative to the major core. In order to ensure what WASC calls the “meaning, quality, and integrity” of degrees, approved campus degree programs maintain consistent requirements that reflect the approved title and that ensure sufficient opportunities for students to achieve the degree-program’s learning outcomes. Additional requirements occur within subprograms, including options, concentrations, special emphases, tracks, threads, and so on. Assessment of student learning outcomes in subprograms is encouraged. </w:t>
      </w:r>
    </w:p>
    <w:p w:rsidR="00032829" w:rsidRDefault="00032829" w:rsidP="00032829">
      <w:pPr>
        <w:pStyle w:val="Example"/>
        <w:rPr>
          <w:b/>
          <w:bCs/>
          <w:sz w:val="23"/>
          <w:szCs w:val="23"/>
        </w:rPr>
      </w:pPr>
    </w:p>
    <w:p w:rsidR="00032829" w:rsidRDefault="00032829" w:rsidP="00032829">
      <w:pPr>
        <w:pStyle w:val="Default"/>
        <w:rPr>
          <w:sz w:val="23"/>
          <w:szCs w:val="23"/>
        </w:rPr>
      </w:pPr>
      <w:r>
        <w:rPr>
          <w:b/>
          <w:bCs/>
          <w:sz w:val="23"/>
          <w:szCs w:val="23"/>
        </w:rPr>
        <w:t xml:space="preserve">Implementation Procedures </w:t>
      </w:r>
    </w:p>
    <w:p w:rsidR="00032829" w:rsidRDefault="00032829" w:rsidP="00032829">
      <w:pPr>
        <w:pStyle w:val="Default"/>
        <w:rPr>
          <w:sz w:val="23"/>
          <w:szCs w:val="23"/>
        </w:rPr>
      </w:pPr>
      <w:r>
        <w:rPr>
          <w:sz w:val="23"/>
          <w:szCs w:val="23"/>
        </w:rPr>
        <w:t xml:space="preserve">Per </w:t>
      </w:r>
      <w:r>
        <w:rPr>
          <w:color w:val="0000FF"/>
          <w:sz w:val="23"/>
          <w:szCs w:val="23"/>
        </w:rPr>
        <w:t>EO 1071</w:t>
      </w:r>
      <w:r>
        <w:rPr>
          <w:sz w:val="23"/>
          <w:szCs w:val="23"/>
        </w:rPr>
        <w:t xml:space="preserve">, before any option, concentration, or special emphasis (or similar subprogram) can be </w:t>
      </w:r>
      <w:proofErr w:type="gramStart"/>
      <w:r>
        <w:rPr>
          <w:sz w:val="23"/>
          <w:szCs w:val="23"/>
        </w:rPr>
        <w:t>implemented,</w:t>
      </w:r>
      <w:proofErr w:type="gramEnd"/>
      <w:r>
        <w:rPr>
          <w:sz w:val="23"/>
          <w:szCs w:val="23"/>
        </w:rPr>
        <w:t xml:space="preserve"> the campus shall obtain a Chancellor’s Office confirmation of compliance with CSU policy and applicable law. </w:t>
      </w:r>
      <w:proofErr w:type="gramStart"/>
      <w:r>
        <w:rPr>
          <w:sz w:val="23"/>
          <w:szCs w:val="23"/>
        </w:rPr>
        <w:t xml:space="preserve">Campus notifications </w:t>
      </w:r>
      <w:r w:rsidR="00F3439E">
        <w:rPr>
          <w:sz w:val="23"/>
          <w:szCs w:val="23"/>
        </w:rPr>
        <w:t>are</w:t>
      </w:r>
      <w:r>
        <w:rPr>
          <w:sz w:val="23"/>
          <w:szCs w:val="23"/>
        </w:rPr>
        <w:t xml:space="preserve"> submitted to the Department of Academic Programs and Faculty Development </w:t>
      </w:r>
      <w:r w:rsidR="007C1C93">
        <w:rPr>
          <w:sz w:val="23"/>
          <w:szCs w:val="23"/>
        </w:rPr>
        <w:t xml:space="preserve">by the </w:t>
      </w:r>
      <w:r w:rsidR="004B4744">
        <w:rPr>
          <w:sz w:val="23"/>
          <w:szCs w:val="23"/>
        </w:rPr>
        <w:t xml:space="preserve">CSU San Bernardino </w:t>
      </w:r>
      <w:r w:rsidR="007C1C93">
        <w:rPr>
          <w:sz w:val="23"/>
          <w:szCs w:val="23"/>
        </w:rPr>
        <w:t>Deputy Provost</w:t>
      </w:r>
      <w:proofErr w:type="gramEnd"/>
      <w:r>
        <w:rPr>
          <w:sz w:val="23"/>
          <w:szCs w:val="23"/>
        </w:rPr>
        <w:t xml:space="preserve">. The following information must be </w:t>
      </w:r>
      <w:r w:rsidR="004B4744">
        <w:rPr>
          <w:sz w:val="23"/>
          <w:szCs w:val="23"/>
        </w:rPr>
        <w:t>included</w:t>
      </w:r>
      <w:r>
        <w:rPr>
          <w:sz w:val="23"/>
          <w:szCs w:val="23"/>
        </w:rPr>
        <w:t xml:space="preserve">: </w:t>
      </w:r>
    </w:p>
    <w:p w:rsidR="00032829" w:rsidRDefault="00032829" w:rsidP="004B4744">
      <w:pPr>
        <w:pStyle w:val="Default"/>
        <w:numPr>
          <w:ilvl w:val="0"/>
          <w:numId w:val="2"/>
        </w:numPr>
        <w:rPr>
          <w:sz w:val="23"/>
          <w:szCs w:val="23"/>
        </w:rPr>
      </w:pPr>
      <w:r>
        <w:rPr>
          <w:sz w:val="23"/>
          <w:szCs w:val="23"/>
        </w:rPr>
        <w:t xml:space="preserve">The exact title of the new subprogram and the complete degree designation and title of the major degree program housing the new subprogram (e.g., Bachelor of Science in Biology with a Concentration in Biochemistry); </w:t>
      </w:r>
    </w:p>
    <w:p w:rsidR="00032829" w:rsidRDefault="00032829" w:rsidP="004B4744">
      <w:pPr>
        <w:pStyle w:val="Default"/>
        <w:numPr>
          <w:ilvl w:val="0"/>
          <w:numId w:val="2"/>
        </w:numPr>
        <w:rPr>
          <w:sz w:val="23"/>
          <w:szCs w:val="23"/>
        </w:rPr>
      </w:pPr>
      <w:r>
        <w:rPr>
          <w:sz w:val="23"/>
          <w:szCs w:val="23"/>
        </w:rPr>
        <w:t xml:space="preserve">A list of courses and required units constituting that new subprogram; </w:t>
      </w:r>
    </w:p>
    <w:p w:rsidR="00032829" w:rsidRDefault="00032829" w:rsidP="004B4744">
      <w:pPr>
        <w:pStyle w:val="Default"/>
        <w:numPr>
          <w:ilvl w:val="0"/>
          <w:numId w:val="2"/>
        </w:numPr>
        <w:rPr>
          <w:sz w:val="23"/>
          <w:szCs w:val="23"/>
        </w:rPr>
      </w:pPr>
      <w:r>
        <w:rPr>
          <w:sz w:val="23"/>
          <w:szCs w:val="23"/>
        </w:rPr>
        <w:t xml:space="preserve">Total units required to complete the entire degree, including the combination of subprogram and major program; </w:t>
      </w:r>
    </w:p>
    <w:p w:rsidR="00032829" w:rsidRDefault="00032829" w:rsidP="004B4744">
      <w:pPr>
        <w:pStyle w:val="Default"/>
        <w:numPr>
          <w:ilvl w:val="0"/>
          <w:numId w:val="2"/>
        </w:numPr>
        <w:rPr>
          <w:sz w:val="23"/>
          <w:szCs w:val="23"/>
        </w:rPr>
      </w:pPr>
      <w:r>
        <w:rPr>
          <w:sz w:val="23"/>
          <w:szCs w:val="23"/>
        </w:rPr>
        <w:t xml:space="preserve">The complete list of courses and required units constituting the major degree program as approved by the Chancellor’s Office; </w:t>
      </w:r>
    </w:p>
    <w:p w:rsidR="00032829" w:rsidRDefault="00032829" w:rsidP="004B4744">
      <w:pPr>
        <w:pStyle w:val="Default"/>
        <w:numPr>
          <w:ilvl w:val="0"/>
          <w:numId w:val="2"/>
        </w:numPr>
        <w:rPr>
          <w:sz w:val="23"/>
          <w:szCs w:val="23"/>
        </w:rPr>
      </w:pPr>
      <w:r>
        <w:rPr>
          <w:sz w:val="23"/>
          <w:szCs w:val="23"/>
        </w:rPr>
        <w:t xml:space="preserve">A 4-year major-and-subprogram roadmap for freshmen and a 2-year major-and-subprogram roadmap for transfer students; </w:t>
      </w:r>
    </w:p>
    <w:p w:rsidR="00032829" w:rsidRPr="004B4744" w:rsidRDefault="00032829" w:rsidP="004B4744">
      <w:pPr>
        <w:pStyle w:val="ListParagraph"/>
        <w:numPr>
          <w:ilvl w:val="0"/>
          <w:numId w:val="2"/>
        </w:numPr>
        <w:rPr>
          <w:sz w:val="23"/>
          <w:szCs w:val="23"/>
        </w:rPr>
      </w:pPr>
      <w:r w:rsidRPr="004B4744">
        <w:rPr>
          <w:sz w:val="23"/>
          <w:szCs w:val="23"/>
        </w:rPr>
        <w:t>The CSU degree program code (formerly called “HEGIS”) that students use to apply to the major degree program</w:t>
      </w:r>
      <w:r w:rsidR="007C1C93" w:rsidRPr="004B4744">
        <w:rPr>
          <w:sz w:val="23"/>
          <w:szCs w:val="23"/>
        </w:rPr>
        <w:t xml:space="preserve">. The Program Codes table is at  </w:t>
      </w:r>
      <w:hyperlink r:id="rId7" w:history="1">
        <w:r w:rsidR="004B4744" w:rsidRPr="004D71ED">
          <w:rPr>
            <w:rStyle w:val="Hyperlink"/>
          </w:rPr>
          <w:t>http://calstate.edu/app/documents/csu-codes-to-cip-2010def.xlsx</w:t>
        </w:r>
      </w:hyperlink>
      <w:r w:rsidRPr="004B4744">
        <w:rPr>
          <w:sz w:val="23"/>
          <w:szCs w:val="23"/>
        </w:rPr>
        <w:t xml:space="preserve">; </w:t>
      </w:r>
    </w:p>
    <w:p w:rsidR="004B4744" w:rsidRDefault="00032829" w:rsidP="004B4744">
      <w:pPr>
        <w:pStyle w:val="Default"/>
        <w:numPr>
          <w:ilvl w:val="0"/>
          <w:numId w:val="2"/>
        </w:numPr>
      </w:pPr>
      <w:r>
        <w:rPr>
          <w:sz w:val="23"/>
          <w:szCs w:val="23"/>
        </w:rPr>
        <w:t xml:space="preserve">The campus-proposed CSU degree program code to </w:t>
      </w:r>
      <w:proofErr w:type="gramStart"/>
      <w:r>
        <w:rPr>
          <w:sz w:val="23"/>
          <w:szCs w:val="23"/>
        </w:rPr>
        <w:t>be used</w:t>
      </w:r>
      <w:proofErr w:type="gramEnd"/>
      <w:r>
        <w:rPr>
          <w:sz w:val="23"/>
          <w:szCs w:val="23"/>
        </w:rPr>
        <w:t xml:space="preserve"> to report enrollments in the concentration (may be the same as the degree code)</w:t>
      </w:r>
      <w:r w:rsidR="007C1C93">
        <w:rPr>
          <w:sz w:val="23"/>
          <w:szCs w:val="23"/>
        </w:rPr>
        <w:t xml:space="preserve">. The Program Codes table is at </w:t>
      </w:r>
      <w:hyperlink r:id="rId8" w:history="1">
        <w:r w:rsidR="004B4744" w:rsidRPr="004D71ED">
          <w:rPr>
            <w:rStyle w:val="Hyperlink"/>
          </w:rPr>
          <w:t>http://calstate.edu/app/documents/csu-codes-to-cip-2010def.xlsx</w:t>
        </w:r>
      </w:hyperlink>
      <w:r w:rsidR="004B4744">
        <w:t>;</w:t>
      </w:r>
    </w:p>
    <w:p w:rsidR="00032829" w:rsidRDefault="00032829" w:rsidP="004B4744">
      <w:pPr>
        <w:pStyle w:val="Default"/>
        <w:numPr>
          <w:ilvl w:val="0"/>
          <w:numId w:val="2"/>
        </w:numPr>
        <w:rPr>
          <w:sz w:val="23"/>
          <w:szCs w:val="23"/>
        </w:rPr>
      </w:pPr>
      <w:r>
        <w:rPr>
          <w:sz w:val="23"/>
          <w:szCs w:val="23"/>
        </w:rPr>
        <w:t xml:space="preserve">A detailed cost-recovery budget for self-support subprograms to be offered within state-support major degree programs; and </w:t>
      </w:r>
    </w:p>
    <w:p w:rsidR="00032829" w:rsidRDefault="00032829" w:rsidP="004B4744">
      <w:pPr>
        <w:pStyle w:val="Default"/>
        <w:numPr>
          <w:ilvl w:val="0"/>
          <w:numId w:val="2"/>
        </w:numPr>
        <w:rPr>
          <w:sz w:val="23"/>
          <w:szCs w:val="23"/>
        </w:rPr>
      </w:pPr>
      <w:r>
        <w:rPr>
          <w:sz w:val="23"/>
          <w:szCs w:val="23"/>
        </w:rPr>
        <w:t xml:space="preserve">Documentation of all campus-required curricular approvals </w:t>
      </w:r>
    </w:p>
    <w:sectPr w:rsidR="00032829" w:rsidSect="004B474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5A9" w:rsidRDefault="00C555A9" w:rsidP="00235CBB">
      <w:r>
        <w:separator/>
      </w:r>
    </w:p>
  </w:endnote>
  <w:endnote w:type="continuationSeparator" w:id="0">
    <w:p w:rsidR="00C555A9" w:rsidRDefault="00C555A9" w:rsidP="0023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9E" w:rsidRDefault="00F34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9E" w:rsidRDefault="00F3439E">
    <w:pPr>
      <w:pStyle w:val="Footer"/>
      <w:rPr>
        <w:rFonts w:ascii="Times New Roman" w:hAnsi="Times New Roman" w:cs="Times New Roman"/>
      </w:rPr>
    </w:pPr>
    <w:r>
      <w:rPr>
        <w:rFonts w:ascii="Times New Roman" w:hAnsi="Times New Roman" w:cs="Times New Roman"/>
      </w:rPr>
      <w:t>Reference:</w:t>
    </w:r>
  </w:p>
  <w:p w:rsidR="00235CBB" w:rsidRPr="00BE45FA" w:rsidRDefault="00235CBB">
    <w:pPr>
      <w:pStyle w:val="Footer"/>
      <w:rPr>
        <w:rFonts w:ascii="Times New Roman" w:hAnsi="Times New Roman" w:cs="Times New Roman"/>
      </w:rPr>
    </w:pPr>
    <w:r w:rsidRPr="00BE45FA">
      <w:rPr>
        <w:rFonts w:ascii="Times New Roman" w:hAnsi="Times New Roman" w:cs="Times New Roman"/>
      </w:rPr>
      <w:t>CSU Office of the Chancellor</w:t>
    </w:r>
  </w:p>
  <w:p w:rsidR="00235CBB" w:rsidRPr="00BE45FA" w:rsidRDefault="00235CBB">
    <w:pPr>
      <w:pStyle w:val="Footer"/>
      <w:rPr>
        <w:rFonts w:ascii="Times New Roman" w:hAnsi="Times New Roman" w:cs="Times New Roman"/>
      </w:rPr>
    </w:pPr>
    <w:r w:rsidRPr="00BE45FA">
      <w:rPr>
        <w:rFonts w:ascii="Times New Roman" w:hAnsi="Times New Roman" w:cs="Times New Roman"/>
      </w:rPr>
      <w:t>Academic Programs and Faculty Development</w:t>
    </w:r>
  </w:p>
  <w:p w:rsidR="00032829" w:rsidRDefault="00235CBB">
    <w:pPr>
      <w:pStyle w:val="Footer"/>
      <w:rPr>
        <w:rFonts w:ascii="Times New Roman" w:hAnsi="Times New Roman" w:cs="Times New Roman"/>
      </w:rPr>
    </w:pPr>
    <w:r w:rsidRPr="00BE45FA">
      <w:rPr>
        <w:rFonts w:ascii="Times New Roman" w:hAnsi="Times New Roman" w:cs="Times New Roman"/>
      </w:rPr>
      <w:t xml:space="preserve">Program Planning </w:t>
    </w:r>
    <w:r w:rsidR="00FB1792" w:rsidRPr="00BE45FA">
      <w:rPr>
        <w:rFonts w:ascii="Times New Roman" w:hAnsi="Times New Roman" w:cs="Times New Roman"/>
      </w:rPr>
      <w:t xml:space="preserve">Resource </w:t>
    </w:r>
    <w:r w:rsidRPr="00BE45FA">
      <w:rPr>
        <w:rFonts w:ascii="Times New Roman" w:hAnsi="Times New Roman" w:cs="Times New Roman"/>
      </w:rPr>
      <w:t xml:space="preserve">Guide </w:t>
    </w:r>
    <w:r w:rsidR="005347A5" w:rsidRPr="00BE45FA">
      <w:rPr>
        <w:rFonts w:ascii="Times New Roman" w:hAnsi="Times New Roman" w:cs="Times New Roman"/>
      </w:rPr>
      <w:t>–</w:t>
    </w:r>
    <w:r w:rsidRPr="00BE45FA">
      <w:rPr>
        <w:rFonts w:ascii="Times New Roman" w:hAnsi="Times New Roman" w:cs="Times New Roman"/>
      </w:rPr>
      <w:t xml:space="preserve"> </w:t>
    </w:r>
    <w:r w:rsidR="00032829">
      <w:rPr>
        <w:rFonts w:ascii="Times New Roman" w:hAnsi="Times New Roman" w:cs="Times New Roman"/>
      </w:rPr>
      <w:t>Adding Options, Concentrations, Special Emphases and Minors</w:t>
    </w:r>
  </w:p>
  <w:p w:rsidR="00235CBB" w:rsidRPr="00F3439E" w:rsidRDefault="00032829">
    <w:pPr>
      <w:pStyle w:val="Footer"/>
      <w:rPr>
        <w:rFonts w:ascii="Times New Roman" w:hAnsi="Times New Roman" w:cs="Times New Roman"/>
      </w:rPr>
    </w:pPr>
    <w:r>
      <w:rPr>
        <w:rFonts w:ascii="Times New Roman" w:hAnsi="Times New Roman" w:cs="Times New Roman"/>
      </w:rPr>
      <w:t>2</w:t>
    </w:r>
    <w:r w:rsidR="005347A5" w:rsidRPr="00BE45FA">
      <w:rPr>
        <w:rFonts w:ascii="Times New Roman" w:hAnsi="Times New Roman" w:cs="Times New Roman"/>
      </w:rPr>
      <w:t>/</w:t>
    </w:r>
    <w:r>
      <w:rPr>
        <w:rFonts w:ascii="Times New Roman" w:hAnsi="Times New Roman" w:cs="Times New Roman"/>
      </w:rPr>
      <w:t>15</w:t>
    </w:r>
    <w:r w:rsidR="005347A5" w:rsidRPr="00BE45FA">
      <w:rPr>
        <w:rFonts w:ascii="Times New Roman" w:hAnsi="Times New Roman" w:cs="Times New Roman"/>
      </w:rPr>
      <w:t>/</w:t>
    </w:r>
    <w:r>
      <w:rPr>
        <w:rFonts w:ascii="Times New Roman" w:hAnsi="Times New Roman" w:cs="Times New Roman"/>
      </w:rPr>
      <w:t>17</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9E" w:rsidRDefault="00F34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5A9" w:rsidRDefault="00C555A9" w:rsidP="00235CBB">
      <w:r>
        <w:separator/>
      </w:r>
    </w:p>
  </w:footnote>
  <w:footnote w:type="continuationSeparator" w:id="0">
    <w:p w:rsidR="00C555A9" w:rsidRDefault="00C555A9" w:rsidP="0023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9E" w:rsidRDefault="00F34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9E" w:rsidRDefault="00F34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9E" w:rsidRDefault="00F34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4212"/>
    <w:multiLevelType w:val="hybridMultilevel"/>
    <w:tmpl w:val="BECAECC0"/>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 w15:restartNumberingAfterBreak="0">
    <w:nsid w:val="233F55AB"/>
    <w:multiLevelType w:val="hybridMultilevel"/>
    <w:tmpl w:val="67ACBC40"/>
    <w:lvl w:ilvl="0" w:tplc="3DA42A4E">
      <w:numFmt w:val="bullet"/>
      <w:lvlText w:val="•"/>
      <w:lvlJc w:val="left"/>
      <w:pPr>
        <w:ind w:left="634" w:hanging="360"/>
      </w:pPr>
      <w:rPr>
        <w:rFonts w:ascii="Times New Roman" w:eastAsiaTheme="minorHAnsi" w:hAnsi="Times New Roman" w:cs="Times New Roman"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 w15:restartNumberingAfterBreak="0">
    <w:nsid w:val="303D475B"/>
    <w:multiLevelType w:val="hybridMultilevel"/>
    <w:tmpl w:val="5594A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DF"/>
    <w:rsid w:val="00032829"/>
    <w:rsid w:val="000B7E4A"/>
    <w:rsid w:val="00233A35"/>
    <w:rsid w:val="00235CBB"/>
    <w:rsid w:val="004B4744"/>
    <w:rsid w:val="005347A5"/>
    <w:rsid w:val="00540BF1"/>
    <w:rsid w:val="005C4A0B"/>
    <w:rsid w:val="005E582E"/>
    <w:rsid w:val="007C1C93"/>
    <w:rsid w:val="00A4223E"/>
    <w:rsid w:val="00BA7368"/>
    <w:rsid w:val="00BB2030"/>
    <w:rsid w:val="00BE45FA"/>
    <w:rsid w:val="00C555A9"/>
    <w:rsid w:val="00C93BDF"/>
    <w:rsid w:val="00CC20E0"/>
    <w:rsid w:val="00F3439E"/>
    <w:rsid w:val="00FB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64F03"/>
  <w15:chartTrackingRefBased/>
  <w15:docId w15:val="{80F4E230-D194-45D3-B95C-527255D0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93BDF"/>
    <w:pPr>
      <w:widowControl w:val="0"/>
    </w:pPr>
  </w:style>
  <w:style w:type="paragraph" w:styleId="Heading1">
    <w:name w:val="heading 1"/>
    <w:basedOn w:val="Normal"/>
    <w:link w:val="Heading1Char"/>
    <w:uiPriority w:val="1"/>
    <w:qFormat/>
    <w:rsid w:val="00C93BDF"/>
    <w:pPr>
      <w:ind w:left="220"/>
      <w:outlineLvl w:val="0"/>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3BDF"/>
    <w:pPr>
      <w:ind w:left="1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93BDF"/>
    <w:rPr>
      <w:rFonts w:ascii="Times New Roman" w:eastAsia="Times New Roman" w:hAnsi="Times New Roman"/>
      <w:sz w:val="24"/>
      <w:szCs w:val="24"/>
    </w:rPr>
  </w:style>
  <w:style w:type="paragraph" w:customStyle="1" w:styleId="Example">
    <w:name w:val="Example"/>
    <w:basedOn w:val="Normal"/>
    <w:rsid w:val="00C93BDF"/>
    <w:pPr>
      <w:widowControl/>
    </w:pPr>
    <w:rPr>
      <w:rFonts w:ascii="Palatino" w:eastAsia="Times New Roman" w:hAnsi="Palatino" w:cs="Times New Roman"/>
      <w:sz w:val="24"/>
      <w:szCs w:val="20"/>
    </w:rPr>
  </w:style>
  <w:style w:type="character" w:customStyle="1" w:styleId="Heading1Char">
    <w:name w:val="Heading 1 Char"/>
    <w:basedOn w:val="DefaultParagraphFont"/>
    <w:link w:val="Heading1"/>
    <w:uiPriority w:val="1"/>
    <w:rsid w:val="00C93BDF"/>
    <w:rPr>
      <w:rFonts w:ascii="Arial Narrow" w:eastAsia="Arial Narrow" w:hAnsi="Arial Narrow"/>
      <w:b/>
      <w:bCs/>
      <w:sz w:val="24"/>
      <w:szCs w:val="24"/>
    </w:rPr>
  </w:style>
  <w:style w:type="paragraph" w:styleId="Header">
    <w:name w:val="header"/>
    <w:basedOn w:val="Normal"/>
    <w:link w:val="HeaderChar"/>
    <w:uiPriority w:val="99"/>
    <w:unhideWhenUsed/>
    <w:rsid w:val="00235CBB"/>
    <w:pPr>
      <w:tabs>
        <w:tab w:val="center" w:pos="4680"/>
        <w:tab w:val="right" w:pos="9360"/>
      </w:tabs>
    </w:pPr>
  </w:style>
  <w:style w:type="character" w:customStyle="1" w:styleId="HeaderChar">
    <w:name w:val="Header Char"/>
    <w:basedOn w:val="DefaultParagraphFont"/>
    <w:link w:val="Header"/>
    <w:uiPriority w:val="99"/>
    <w:rsid w:val="00235CBB"/>
  </w:style>
  <w:style w:type="paragraph" w:styleId="Footer">
    <w:name w:val="footer"/>
    <w:basedOn w:val="Normal"/>
    <w:link w:val="FooterChar"/>
    <w:uiPriority w:val="99"/>
    <w:unhideWhenUsed/>
    <w:rsid w:val="00235CBB"/>
    <w:pPr>
      <w:tabs>
        <w:tab w:val="center" w:pos="4680"/>
        <w:tab w:val="right" w:pos="9360"/>
      </w:tabs>
    </w:pPr>
  </w:style>
  <w:style w:type="character" w:customStyle="1" w:styleId="FooterChar">
    <w:name w:val="Footer Char"/>
    <w:basedOn w:val="DefaultParagraphFont"/>
    <w:link w:val="Footer"/>
    <w:uiPriority w:val="99"/>
    <w:rsid w:val="00235CBB"/>
  </w:style>
  <w:style w:type="paragraph" w:customStyle="1" w:styleId="Default">
    <w:name w:val="Default"/>
    <w:rsid w:val="00032829"/>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C1C93"/>
    <w:rPr>
      <w:color w:val="0563C1"/>
      <w:u w:val="single"/>
    </w:rPr>
  </w:style>
  <w:style w:type="paragraph" w:styleId="ListParagraph">
    <w:name w:val="List Paragraph"/>
    <w:basedOn w:val="Normal"/>
    <w:uiPriority w:val="34"/>
    <w:qFormat/>
    <w:rsid w:val="004B4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1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lstate.edu/app/documents/csu-codes-to-cip-2010def.xls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alstate.edu/app/documents/csu-codes-to-cip-2010def.xls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 Nicholl</dc:creator>
  <cp:keywords/>
  <dc:description/>
  <cp:lastModifiedBy>Kimberle Nicholl</cp:lastModifiedBy>
  <cp:revision>3</cp:revision>
  <dcterms:created xsi:type="dcterms:W3CDTF">2017-10-27T18:25:00Z</dcterms:created>
  <dcterms:modified xsi:type="dcterms:W3CDTF">2017-10-27T18:26:00Z</dcterms:modified>
</cp:coreProperties>
</file>